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30" w:rsidRDefault="006A0230" w:rsidP="00AD0264">
      <w:pPr>
        <w:pStyle w:val="TDC1"/>
        <w:rPr>
          <w:rStyle w:val="Hipervnculo"/>
          <w:color w:val="auto"/>
        </w:rPr>
      </w:pPr>
    </w:p>
    <w:p w:rsidR="006A0230" w:rsidRDefault="006A0230" w:rsidP="00AD0264">
      <w:pPr>
        <w:pStyle w:val="TDC1"/>
        <w:rPr>
          <w:rStyle w:val="Hipervnculo"/>
          <w:color w:val="auto"/>
        </w:rPr>
      </w:pPr>
    </w:p>
    <w:p w:rsidR="006A0230" w:rsidRDefault="006A0230" w:rsidP="00AD0264">
      <w:pPr>
        <w:pStyle w:val="TDC1"/>
        <w:rPr>
          <w:rStyle w:val="Hipervnculo"/>
          <w:color w:val="auto"/>
        </w:rPr>
      </w:pPr>
    </w:p>
    <w:p w:rsidR="006A0230" w:rsidRDefault="006A0230" w:rsidP="00AD0264">
      <w:pPr>
        <w:pStyle w:val="TDC1"/>
        <w:rPr>
          <w:rStyle w:val="Hipervnculo"/>
          <w:color w:val="auto"/>
        </w:rPr>
      </w:pPr>
    </w:p>
    <w:p w:rsidR="00AD0264" w:rsidRPr="00296879" w:rsidRDefault="00AD0264" w:rsidP="00AD0264">
      <w:pPr>
        <w:pStyle w:val="TDC1"/>
        <w:rPr>
          <w:rStyle w:val="Hipervnculo"/>
          <w:b w:val="0"/>
          <w:color w:val="auto"/>
        </w:rPr>
      </w:pPr>
      <w:r w:rsidRPr="00296879">
        <w:rPr>
          <w:rStyle w:val="Hipervnculo"/>
          <w:color w:val="auto"/>
        </w:rPr>
        <w:t>Tabla de contenidos</w:t>
      </w:r>
    </w:p>
    <w:p w:rsidR="00DC7704" w:rsidRDefault="00DC7704" w:rsidP="008D3FC4">
      <w:pPr>
        <w:suppressAutoHyphens w:val="0"/>
        <w:ind w:left="708"/>
        <w:jc w:val="both"/>
        <w:rPr>
          <w:i/>
          <w:color w:val="000000"/>
          <w:sz w:val="20"/>
          <w:szCs w:val="20"/>
          <w:lang w:val="es-CR" w:eastAsia="es-CR"/>
        </w:rPr>
      </w:pPr>
    </w:p>
    <w:sdt>
      <w:sdtPr>
        <w:rPr>
          <w:rFonts w:eastAsia="Times New Roman"/>
          <w:b w:val="0"/>
          <w:noProof w:val="0"/>
          <w:lang w:val="es-ES" w:eastAsia="ar-SA"/>
        </w:rPr>
        <w:id w:val="-1910998432"/>
        <w:docPartObj>
          <w:docPartGallery w:val="Table of Contents"/>
          <w:docPartUnique/>
        </w:docPartObj>
      </w:sdtPr>
      <w:sdtEndPr/>
      <w:sdtContent>
        <w:p w:rsidR="00823AEB" w:rsidRDefault="00823AEB" w:rsidP="00AD0264">
          <w:pPr>
            <w:pStyle w:val="TDC1"/>
          </w:pPr>
        </w:p>
        <w:p w:rsidR="00AD0264" w:rsidRDefault="002A6DE8" w:rsidP="00AD0264">
          <w:pPr>
            <w:pStyle w:val="TDC1"/>
            <w:rPr>
              <w:rFonts w:asciiTheme="minorHAnsi" w:eastAsiaTheme="minorEastAsia" w:hAnsiTheme="minorHAnsi" w:cstheme="minorBidi"/>
              <w:sz w:val="22"/>
              <w:szCs w:val="22"/>
              <w:lang w:eastAsia="es-CR"/>
            </w:rPr>
          </w:pPr>
          <w:r w:rsidRPr="005A1AF9">
            <w:rPr>
              <w:bCs/>
              <w:lang w:val="es-ES"/>
            </w:rPr>
            <w:fldChar w:fldCharType="begin"/>
          </w:r>
          <w:r w:rsidRPr="005A1AF9">
            <w:rPr>
              <w:bCs/>
              <w:lang w:val="es-ES"/>
            </w:rPr>
            <w:instrText xml:space="preserve"> TOC \o "1-3" \h \z \u </w:instrText>
          </w:r>
          <w:r w:rsidRPr="005A1AF9">
            <w:rPr>
              <w:bCs/>
              <w:lang w:val="es-ES"/>
            </w:rPr>
            <w:fldChar w:fldCharType="separate"/>
          </w:r>
          <w:hyperlink w:anchor="_Toc531341151" w:history="1">
            <w:r w:rsidR="00AD0264" w:rsidRPr="0021366B">
              <w:rPr>
                <w:rStyle w:val="Hipervnculo"/>
              </w:rPr>
              <w:t>1. INTRODUCCIÓN</w:t>
            </w:r>
            <w:r w:rsidR="00AD0264">
              <w:rPr>
                <w:webHidden/>
              </w:rPr>
              <w:tab/>
            </w:r>
            <w:r w:rsidR="00AD0264">
              <w:rPr>
                <w:webHidden/>
              </w:rPr>
              <w:fldChar w:fldCharType="begin"/>
            </w:r>
            <w:r w:rsidR="00AD0264">
              <w:rPr>
                <w:webHidden/>
              </w:rPr>
              <w:instrText xml:space="preserve"> PAGEREF _Toc531341151 \h </w:instrText>
            </w:r>
            <w:r w:rsidR="00AD0264">
              <w:rPr>
                <w:webHidden/>
              </w:rPr>
            </w:r>
            <w:r w:rsidR="00AD0264">
              <w:rPr>
                <w:webHidden/>
              </w:rPr>
              <w:fldChar w:fldCharType="separate"/>
            </w:r>
            <w:r w:rsidR="00AD0264">
              <w:rPr>
                <w:webHidden/>
              </w:rPr>
              <w:t>1</w:t>
            </w:r>
            <w:r w:rsidR="00AD0264">
              <w:rPr>
                <w:webHidden/>
              </w:rPr>
              <w:fldChar w:fldCharType="end"/>
            </w:r>
          </w:hyperlink>
        </w:p>
        <w:p w:rsidR="00AD0264" w:rsidRDefault="00AD0264">
          <w:pPr>
            <w:pStyle w:val="TDC2"/>
            <w:tabs>
              <w:tab w:val="right" w:leader="dot" w:pos="8828"/>
            </w:tabs>
            <w:rPr>
              <w:rStyle w:val="Hipervnculo"/>
              <w:noProof/>
            </w:rPr>
          </w:pPr>
        </w:p>
        <w:p w:rsidR="00AD0264" w:rsidRDefault="001852E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341152" w:history="1">
            <w:r w:rsidR="00AD0264" w:rsidRPr="0021366B">
              <w:rPr>
                <w:rStyle w:val="Hipervnculo"/>
                <w:noProof/>
              </w:rPr>
              <w:t>1.1 Objetivo General</w:t>
            </w:r>
            <w:r w:rsidR="00AD0264">
              <w:rPr>
                <w:noProof/>
                <w:webHidden/>
              </w:rPr>
              <w:tab/>
            </w:r>
            <w:r w:rsidR="00AD0264">
              <w:rPr>
                <w:noProof/>
                <w:webHidden/>
              </w:rPr>
              <w:fldChar w:fldCharType="begin"/>
            </w:r>
            <w:r w:rsidR="00AD0264">
              <w:rPr>
                <w:noProof/>
                <w:webHidden/>
              </w:rPr>
              <w:instrText xml:space="preserve"> PAGEREF _Toc531341152 \h </w:instrText>
            </w:r>
            <w:r w:rsidR="00AD0264">
              <w:rPr>
                <w:noProof/>
                <w:webHidden/>
              </w:rPr>
            </w:r>
            <w:r w:rsidR="00AD0264">
              <w:rPr>
                <w:noProof/>
                <w:webHidden/>
              </w:rPr>
              <w:fldChar w:fldCharType="separate"/>
            </w:r>
            <w:r w:rsidR="00AD0264">
              <w:rPr>
                <w:noProof/>
                <w:webHidden/>
              </w:rPr>
              <w:t>1</w:t>
            </w:r>
            <w:r w:rsidR="00AD0264">
              <w:rPr>
                <w:noProof/>
                <w:webHidden/>
              </w:rPr>
              <w:fldChar w:fldCharType="end"/>
            </w:r>
          </w:hyperlink>
        </w:p>
        <w:p w:rsidR="00AD0264" w:rsidRDefault="001852E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341153" w:history="1">
            <w:r w:rsidR="00AD0264" w:rsidRPr="0021366B">
              <w:rPr>
                <w:rStyle w:val="Hipervnculo"/>
                <w:noProof/>
              </w:rPr>
              <w:t>1.2 Alcance</w:t>
            </w:r>
            <w:r w:rsidR="00AD0264">
              <w:rPr>
                <w:noProof/>
                <w:webHidden/>
              </w:rPr>
              <w:tab/>
            </w:r>
            <w:r w:rsidR="00AD0264">
              <w:rPr>
                <w:noProof/>
                <w:webHidden/>
              </w:rPr>
              <w:fldChar w:fldCharType="begin"/>
            </w:r>
            <w:r w:rsidR="00AD0264">
              <w:rPr>
                <w:noProof/>
                <w:webHidden/>
              </w:rPr>
              <w:instrText xml:space="preserve"> PAGEREF _Toc531341153 \h </w:instrText>
            </w:r>
            <w:r w:rsidR="00AD0264">
              <w:rPr>
                <w:noProof/>
                <w:webHidden/>
              </w:rPr>
            </w:r>
            <w:r w:rsidR="00AD0264">
              <w:rPr>
                <w:noProof/>
                <w:webHidden/>
              </w:rPr>
              <w:fldChar w:fldCharType="separate"/>
            </w:r>
            <w:r w:rsidR="00AD0264">
              <w:rPr>
                <w:noProof/>
                <w:webHidden/>
              </w:rPr>
              <w:t>2</w:t>
            </w:r>
            <w:r w:rsidR="00AD0264">
              <w:rPr>
                <w:noProof/>
                <w:webHidden/>
              </w:rPr>
              <w:fldChar w:fldCharType="end"/>
            </w:r>
          </w:hyperlink>
        </w:p>
        <w:p w:rsidR="00AD0264" w:rsidRDefault="001852E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341154" w:history="1">
            <w:r w:rsidR="00AD0264" w:rsidRPr="0021366B">
              <w:rPr>
                <w:rStyle w:val="Hipervnculo"/>
                <w:noProof/>
              </w:rPr>
              <w:t>1.3 Antecedentes</w:t>
            </w:r>
            <w:r w:rsidR="00AD0264">
              <w:rPr>
                <w:noProof/>
                <w:webHidden/>
              </w:rPr>
              <w:tab/>
            </w:r>
            <w:r w:rsidR="00AD0264">
              <w:rPr>
                <w:noProof/>
                <w:webHidden/>
              </w:rPr>
              <w:fldChar w:fldCharType="begin"/>
            </w:r>
            <w:r w:rsidR="00AD0264">
              <w:rPr>
                <w:noProof/>
                <w:webHidden/>
              </w:rPr>
              <w:instrText xml:space="preserve"> PAGEREF _Toc531341154 \h </w:instrText>
            </w:r>
            <w:r w:rsidR="00AD0264">
              <w:rPr>
                <w:noProof/>
                <w:webHidden/>
              </w:rPr>
            </w:r>
            <w:r w:rsidR="00AD0264">
              <w:rPr>
                <w:noProof/>
                <w:webHidden/>
              </w:rPr>
              <w:fldChar w:fldCharType="separate"/>
            </w:r>
            <w:r w:rsidR="00AD0264">
              <w:rPr>
                <w:noProof/>
                <w:webHidden/>
              </w:rPr>
              <w:t>2</w:t>
            </w:r>
            <w:r w:rsidR="00AD0264">
              <w:rPr>
                <w:noProof/>
                <w:webHidden/>
              </w:rPr>
              <w:fldChar w:fldCharType="end"/>
            </w:r>
          </w:hyperlink>
        </w:p>
        <w:p w:rsidR="00AD0264" w:rsidRDefault="00AD0264" w:rsidP="00AD0264">
          <w:pPr>
            <w:pStyle w:val="TDC1"/>
            <w:rPr>
              <w:rStyle w:val="Hipervnculo"/>
            </w:rPr>
          </w:pPr>
        </w:p>
        <w:p w:rsidR="00AD0264" w:rsidRDefault="001852EA" w:rsidP="00AD0264">
          <w:pPr>
            <w:pStyle w:val="TDC1"/>
            <w:rPr>
              <w:rFonts w:asciiTheme="minorHAnsi" w:eastAsiaTheme="minorEastAsia" w:hAnsiTheme="minorHAnsi" w:cstheme="minorBidi"/>
              <w:sz w:val="22"/>
              <w:szCs w:val="22"/>
              <w:lang w:eastAsia="es-CR"/>
            </w:rPr>
          </w:pPr>
          <w:hyperlink w:anchor="_Toc531341155" w:history="1">
            <w:r w:rsidR="00AD0264" w:rsidRPr="0021366B">
              <w:rPr>
                <w:rStyle w:val="Hipervnculo"/>
              </w:rPr>
              <w:t>2. HALLAZGOS Y RECOMENDACIONES</w:t>
            </w:r>
            <w:r w:rsidR="00AD0264">
              <w:rPr>
                <w:webHidden/>
              </w:rPr>
              <w:tab/>
            </w:r>
            <w:r w:rsidR="00AD0264">
              <w:rPr>
                <w:webHidden/>
              </w:rPr>
              <w:fldChar w:fldCharType="begin"/>
            </w:r>
            <w:r w:rsidR="00AD0264">
              <w:rPr>
                <w:webHidden/>
              </w:rPr>
              <w:instrText xml:space="preserve"> PAGEREF _Toc531341155 \h </w:instrText>
            </w:r>
            <w:r w:rsidR="00AD0264">
              <w:rPr>
                <w:webHidden/>
              </w:rPr>
            </w:r>
            <w:r w:rsidR="00AD0264">
              <w:rPr>
                <w:webHidden/>
              </w:rPr>
              <w:fldChar w:fldCharType="separate"/>
            </w:r>
            <w:r w:rsidR="00AD0264">
              <w:rPr>
                <w:webHidden/>
              </w:rPr>
              <w:t>2</w:t>
            </w:r>
            <w:r w:rsidR="00AD0264">
              <w:rPr>
                <w:webHidden/>
              </w:rPr>
              <w:fldChar w:fldCharType="end"/>
            </w:r>
          </w:hyperlink>
        </w:p>
        <w:p w:rsidR="00AD0264" w:rsidRDefault="00AD0264" w:rsidP="00AD0264">
          <w:pPr>
            <w:pStyle w:val="TDC1"/>
            <w:rPr>
              <w:rStyle w:val="Hipervnculo"/>
            </w:rPr>
          </w:pPr>
        </w:p>
        <w:p w:rsidR="00AD0264" w:rsidRDefault="001852EA" w:rsidP="00AD0264">
          <w:pPr>
            <w:pStyle w:val="TDC1"/>
            <w:rPr>
              <w:rFonts w:asciiTheme="minorHAnsi" w:eastAsiaTheme="minorEastAsia" w:hAnsiTheme="minorHAnsi" w:cstheme="minorBidi"/>
              <w:sz w:val="22"/>
              <w:szCs w:val="22"/>
              <w:lang w:eastAsia="es-CR"/>
            </w:rPr>
          </w:pPr>
          <w:hyperlink w:anchor="_Toc531341156" w:history="1">
            <w:r w:rsidR="00AD0264" w:rsidRPr="0021366B">
              <w:rPr>
                <w:rStyle w:val="Hipervnculo"/>
              </w:rPr>
              <w:t>3. CONCLUSIONES</w:t>
            </w:r>
            <w:r w:rsidR="00AD0264">
              <w:rPr>
                <w:webHidden/>
              </w:rPr>
              <w:tab/>
            </w:r>
            <w:r w:rsidR="00AD0264">
              <w:rPr>
                <w:webHidden/>
              </w:rPr>
              <w:fldChar w:fldCharType="begin"/>
            </w:r>
            <w:r w:rsidR="00AD0264">
              <w:rPr>
                <w:webHidden/>
              </w:rPr>
              <w:instrText xml:space="preserve"> PAGEREF _Toc531341156 \h </w:instrText>
            </w:r>
            <w:r w:rsidR="00AD0264">
              <w:rPr>
                <w:webHidden/>
              </w:rPr>
            </w:r>
            <w:r w:rsidR="00AD0264">
              <w:rPr>
                <w:webHidden/>
              </w:rPr>
              <w:fldChar w:fldCharType="separate"/>
            </w:r>
            <w:r w:rsidR="00AD0264">
              <w:rPr>
                <w:webHidden/>
              </w:rPr>
              <w:t>5</w:t>
            </w:r>
            <w:r w:rsidR="00AD0264">
              <w:rPr>
                <w:webHidden/>
              </w:rPr>
              <w:fldChar w:fldCharType="end"/>
            </w:r>
          </w:hyperlink>
        </w:p>
        <w:p w:rsidR="00AD0264" w:rsidRDefault="00AD0264" w:rsidP="00AD0264">
          <w:pPr>
            <w:pStyle w:val="TDC1"/>
            <w:rPr>
              <w:rStyle w:val="Hipervnculo"/>
            </w:rPr>
          </w:pPr>
        </w:p>
        <w:p w:rsidR="00AD0264" w:rsidRDefault="001852EA" w:rsidP="00AD0264">
          <w:pPr>
            <w:pStyle w:val="TDC1"/>
            <w:rPr>
              <w:rFonts w:asciiTheme="minorHAnsi" w:eastAsiaTheme="minorEastAsia" w:hAnsiTheme="minorHAnsi" w:cstheme="minorBidi"/>
              <w:sz w:val="22"/>
              <w:szCs w:val="22"/>
              <w:lang w:eastAsia="es-CR"/>
            </w:rPr>
          </w:pPr>
          <w:hyperlink w:anchor="_Toc531341157" w:history="1">
            <w:r w:rsidR="00AD0264" w:rsidRPr="0021366B">
              <w:rPr>
                <w:rStyle w:val="Hipervnculo"/>
              </w:rPr>
              <w:t>4. PUNTOS ESPECÍFICOS</w:t>
            </w:r>
            <w:r w:rsidR="00AD0264">
              <w:rPr>
                <w:webHidden/>
              </w:rPr>
              <w:tab/>
            </w:r>
            <w:r w:rsidR="00AD0264">
              <w:rPr>
                <w:webHidden/>
              </w:rPr>
              <w:fldChar w:fldCharType="begin"/>
            </w:r>
            <w:r w:rsidR="00AD0264">
              <w:rPr>
                <w:webHidden/>
              </w:rPr>
              <w:instrText xml:space="preserve"> PAGEREF _Toc531341157 \h </w:instrText>
            </w:r>
            <w:r w:rsidR="00AD0264">
              <w:rPr>
                <w:webHidden/>
              </w:rPr>
            </w:r>
            <w:r w:rsidR="00AD0264">
              <w:rPr>
                <w:webHidden/>
              </w:rPr>
              <w:fldChar w:fldCharType="separate"/>
            </w:r>
            <w:r w:rsidR="00AD0264">
              <w:rPr>
                <w:webHidden/>
              </w:rPr>
              <w:t>5</w:t>
            </w:r>
            <w:r w:rsidR="00AD0264">
              <w:rPr>
                <w:webHidden/>
              </w:rPr>
              <w:fldChar w:fldCharType="end"/>
            </w:r>
          </w:hyperlink>
        </w:p>
        <w:p w:rsidR="00AD0264" w:rsidRDefault="001852E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341158" w:history="1">
            <w:r w:rsidR="00AD0264" w:rsidRPr="0021366B">
              <w:rPr>
                <w:rStyle w:val="Hipervnculo"/>
                <w:noProof/>
              </w:rPr>
              <w:t>4.1 Origen</w:t>
            </w:r>
            <w:r w:rsidR="00AD0264">
              <w:rPr>
                <w:noProof/>
                <w:webHidden/>
              </w:rPr>
              <w:tab/>
            </w:r>
            <w:r w:rsidR="00AD0264">
              <w:rPr>
                <w:noProof/>
                <w:webHidden/>
              </w:rPr>
              <w:fldChar w:fldCharType="begin"/>
            </w:r>
            <w:r w:rsidR="00AD0264">
              <w:rPr>
                <w:noProof/>
                <w:webHidden/>
              </w:rPr>
              <w:instrText xml:space="preserve"> PAGEREF _Toc531341158 \h </w:instrText>
            </w:r>
            <w:r w:rsidR="00AD0264">
              <w:rPr>
                <w:noProof/>
                <w:webHidden/>
              </w:rPr>
            </w:r>
            <w:r w:rsidR="00AD0264">
              <w:rPr>
                <w:noProof/>
                <w:webHidden/>
              </w:rPr>
              <w:fldChar w:fldCharType="separate"/>
            </w:r>
            <w:r w:rsidR="00AD0264">
              <w:rPr>
                <w:noProof/>
                <w:webHidden/>
              </w:rPr>
              <w:t>5</w:t>
            </w:r>
            <w:r w:rsidR="00AD0264">
              <w:rPr>
                <w:noProof/>
                <w:webHidden/>
              </w:rPr>
              <w:fldChar w:fldCharType="end"/>
            </w:r>
          </w:hyperlink>
        </w:p>
        <w:p w:rsidR="00AD0264" w:rsidRDefault="001852E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341159" w:history="1">
            <w:r w:rsidR="00AD0264" w:rsidRPr="0021366B">
              <w:rPr>
                <w:rStyle w:val="Hipervnculo"/>
                <w:noProof/>
              </w:rPr>
              <w:t>4.2 Normativa Aplicable</w:t>
            </w:r>
            <w:r w:rsidR="00AD0264">
              <w:rPr>
                <w:noProof/>
                <w:webHidden/>
              </w:rPr>
              <w:tab/>
            </w:r>
            <w:r w:rsidR="00AD0264">
              <w:rPr>
                <w:noProof/>
                <w:webHidden/>
              </w:rPr>
              <w:fldChar w:fldCharType="begin"/>
            </w:r>
            <w:r w:rsidR="00AD0264">
              <w:rPr>
                <w:noProof/>
                <w:webHidden/>
              </w:rPr>
              <w:instrText xml:space="preserve"> PAGEREF _Toc531341159 \h </w:instrText>
            </w:r>
            <w:r w:rsidR="00AD0264">
              <w:rPr>
                <w:noProof/>
                <w:webHidden/>
              </w:rPr>
            </w:r>
            <w:r w:rsidR="00AD0264">
              <w:rPr>
                <w:noProof/>
                <w:webHidden/>
              </w:rPr>
              <w:fldChar w:fldCharType="separate"/>
            </w:r>
            <w:r w:rsidR="00AD0264">
              <w:rPr>
                <w:noProof/>
                <w:webHidden/>
              </w:rPr>
              <w:t>5</w:t>
            </w:r>
            <w:r w:rsidR="00AD0264">
              <w:rPr>
                <w:noProof/>
                <w:webHidden/>
              </w:rPr>
              <w:fldChar w:fldCharType="end"/>
            </w:r>
          </w:hyperlink>
        </w:p>
        <w:p w:rsidR="00AD0264" w:rsidRDefault="00AD0264" w:rsidP="00AD0264">
          <w:pPr>
            <w:pStyle w:val="TDC1"/>
            <w:rPr>
              <w:rStyle w:val="Hipervnculo"/>
            </w:rPr>
          </w:pPr>
        </w:p>
        <w:p w:rsidR="00AD0264" w:rsidRDefault="001852EA" w:rsidP="00AD0264">
          <w:pPr>
            <w:pStyle w:val="TDC1"/>
            <w:rPr>
              <w:rFonts w:asciiTheme="minorHAnsi" w:eastAsiaTheme="minorEastAsia" w:hAnsiTheme="minorHAnsi" w:cstheme="minorBidi"/>
              <w:sz w:val="22"/>
              <w:szCs w:val="22"/>
              <w:lang w:eastAsia="es-CR"/>
            </w:rPr>
          </w:pPr>
          <w:hyperlink w:anchor="_Toc531341160" w:history="1">
            <w:r w:rsidR="00AD0264" w:rsidRPr="0021366B">
              <w:rPr>
                <w:rStyle w:val="Hipervnculo"/>
              </w:rPr>
              <w:t>5. NOMBRES Y FIRMAS</w:t>
            </w:r>
            <w:r w:rsidR="00AD0264">
              <w:rPr>
                <w:webHidden/>
              </w:rPr>
              <w:tab/>
            </w:r>
            <w:r w:rsidR="00AD0264">
              <w:rPr>
                <w:webHidden/>
              </w:rPr>
              <w:fldChar w:fldCharType="begin"/>
            </w:r>
            <w:r w:rsidR="00AD0264">
              <w:rPr>
                <w:webHidden/>
              </w:rPr>
              <w:instrText xml:space="preserve"> PAGEREF _Toc531341160 \h </w:instrText>
            </w:r>
            <w:r w:rsidR="00AD0264">
              <w:rPr>
                <w:webHidden/>
              </w:rPr>
            </w:r>
            <w:r w:rsidR="00AD0264">
              <w:rPr>
                <w:webHidden/>
              </w:rPr>
              <w:fldChar w:fldCharType="separate"/>
            </w:r>
            <w:r w:rsidR="00AD0264">
              <w:rPr>
                <w:webHidden/>
              </w:rPr>
              <w:t>6</w:t>
            </w:r>
            <w:r w:rsidR="00AD0264">
              <w:rPr>
                <w:webHidden/>
              </w:rPr>
              <w:fldChar w:fldCharType="end"/>
            </w:r>
          </w:hyperlink>
        </w:p>
        <w:p w:rsidR="002A6DE8" w:rsidRDefault="002A6DE8">
          <w:r w:rsidRPr="005A1AF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823AEB" w:rsidRDefault="00823AEB" w:rsidP="008D3FC4">
      <w:pPr>
        <w:pStyle w:val="Textoindependiente"/>
        <w:widowControl w:val="0"/>
        <w:autoSpaceDE w:val="0"/>
        <w:autoSpaceDN w:val="0"/>
        <w:adjustRightInd w:val="0"/>
        <w:contextualSpacing/>
        <w:rPr>
          <w:rFonts w:ascii="Times New Roman" w:hAnsi="Times New Roman"/>
          <w:b/>
          <w:sz w:val="22"/>
          <w:lang w:val="es-ES"/>
        </w:rPr>
      </w:pPr>
    </w:p>
    <w:p w:rsidR="00823AEB" w:rsidRDefault="00823AEB" w:rsidP="008D3FC4">
      <w:pPr>
        <w:pStyle w:val="Textoindependiente"/>
        <w:widowControl w:val="0"/>
        <w:autoSpaceDE w:val="0"/>
        <w:autoSpaceDN w:val="0"/>
        <w:adjustRightInd w:val="0"/>
        <w:contextualSpacing/>
        <w:rPr>
          <w:rFonts w:ascii="Times New Roman" w:hAnsi="Times New Roman"/>
          <w:b/>
          <w:sz w:val="22"/>
          <w:lang w:val="es-ES"/>
        </w:rPr>
      </w:pPr>
    </w:p>
    <w:p w:rsidR="00453D12" w:rsidRPr="00AD0264" w:rsidRDefault="00453D12" w:rsidP="00AD0264">
      <w:pPr>
        <w:pStyle w:val="Ttulo1"/>
        <w:rPr>
          <w:rFonts w:ascii="Times New Roman" w:hAnsi="Times New Roman" w:cs="Times New Roman"/>
          <w:b/>
          <w:color w:val="auto"/>
          <w:sz w:val="28"/>
          <w:szCs w:val="28"/>
        </w:rPr>
      </w:pPr>
      <w:bookmarkStart w:id="0" w:name="_Toc531341151"/>
      <w:r w:rsidRPr="00AD0264">
        <w:rPr>
          <w:rFonts w:ascii="Times New Roman" w:hAnsi="Times New Roman" w:cs="Times New Roman"/>
          <w:b/>
          <w:color w:val="auto"/>
          <w:sz w:val="28"/>
          <w:szCs w:val="28"/>
        </w:rPr>
        <w:lastRenderedPageBreak/>
        <w:t>1. INTRODUCCIÓN</w:t>
      </w:r>
      <w:bookmarkEnd w:id="0"/>
    </w:p>
    <w:p w:rsidR="00362013" w:rsidRPr="003B7C2A" w:rsidRDefault="00453D12" w:rsidP="008005FA">
      <w:pPr>
        <w:tabs>
          <w:tab w:val="left" w:pos="3433"/>
        </w:tabs>
        <w:jc w:val="both"/>
        <w:rPr>
          <w:b/>
        </w:rPr>
      </w:pPr>
      <w:r w:rsidRPr="008005FA">
        <w:rPr>
          <w:b/>
        </w:rPr>
        <w:tab/>
      </w:r>
    </w:p>
    <w:p w:rsidR="00453D12" w:rsidRPr="008005FA" w:rsidRDefault="002A6DE8" w:rsidP="008005FA">
      <w:pPr>
        <w:pStyle w:val="Ttulo2"/>
        <w:spacing w:before="0" w:beforeAutospacing="0" w:after="0" w:afterAutospacing="0"/>
        <w:rPr>
          <w:sz w:val="24"/>
          <w:szCs w:val="24"/>
        </w:rPr>
      </w:pPr>
      <w:bookmarkStart w:id="1" w:name="_Toc531341152"/>
      <w:r w:rsidRPr="008005FA">
        <w:rPr>
          <w:sz w:val="24"/>
          <w:szCs w:val="24"/>
        </w:rPr>
        <w:t xml:space="preserve">1.1 </w:t>
      </w:r>
      <w:r w:rsidR="00453D12" w:rsidRPr="008005FA">
        <w:rPr>
          <w:sz w:val="24"/>
          <w:szCs w:val="24"/>
        </w:rPr>
        <w:t>Objetivo General</w:t>
      </w:r>
      <w:bookmarkEnd w:id="1"/>
    </w:p>
    <w:p w:rsidR="00362013" w:rsidRDefault="00362013" w:rsidP="008005FA">
      <w:pPr>
        <w:jc w:val="both"/>
        <w:rPr>
          <w:b/>
        </w:rPr>
      </w:pPr>
    </w:p>
    <w:p w:rsidR="001735B8" w:rsidRPr="001735B8" w:rsidRDefault="001735B8" w:rsidP="001735B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1735B8">
        <w:t xml:space="preserve">Determinar </w:t>
      </w:r>
      <w:r w:rsidR="003714BF">
        <w:t xml:space="preserve">por medio de una actualización en la implementación de las recomendaciones </w:t>
      </w:r>
      <w:r w:rsidRPr="001735B8">
        <w:t>emitidas, por est</w:t>
      </w:r>
      <w:r w:rsidR="00C50211">
        <w:t>a Auditoría Interna, mediante el</w:t>
      </w:r>
      <w:r w:rsidR="00AA482E">
        <w:t xml:space="preserve"> </w:t>
      </w:r>
      <w:r w:rsidR="00C50211">
        <w:rPr>
          <w:i/>
        </w:rPr>
        <w:t>Informe 18-10 Proceso de Formulación Presupuestaria</w:t>
      </w:r>
      <w:r w:rsidR="003714BF">
        <w:rPr>
          <w:i/>
        </w:rPr>
        <w:t xml:space="preserve"> </w:t>
      </w:r>
      <w:r w:rsidR="003714BF" w:rsidRPr="003714BF">
        <w:t>el grado de cumplimiento</w:t>
      </w:r>
      <w:r w:rsidRPr="001735B8">
        <w:t>.</w:t>
      </w:r>
    </w:p>
    <w:p w:rsidR="00362013" w:rsidRDefault="00362013" w:rsidP="008005FA">
      <w:pPr>
        <w:jc w:val="both"/>
        <w:rPr>
          <w:b/>
        </w:rPr>
      </w:pPr>
    </w:p>
    <w:p w:rsidR="00453D12" w:rsidRDefault="00453D12" w:rsidP="008005FA">
      <w:pPr>
        <w:pStyle w:val="Ttulo2"/>
        <w:spacing w:before="0" w:beforeAutospacing="0" w:after="0" w:afterAutospacing="0"/>
        <w:rPr>
          <w:sz w:val="24"/>
          <w:szCs w:val="24"/>
        </w:rPr>
      </w:pPr>
      <w:bookmarkStart w:id="2" w:name="_Toc531341153"/>
      <w:r w:rsidRPr="008005FA">
        <w:rPr>
          <w:sz w:val="24"/>
          <w:szCs w:val="24"/>
        </w:rPr>
        <w:t>1.2 Alcance</w:t>
      </w:r>
      <w:bookmarkEnd w:id="2"/>
      <w:r w:rsidRPr="008005FA">
        <w:rPr>
          <w:sz w:val="24"/>
          <w:szCs w:val="24"/>
        </w:rPr>
        <w:t xml:space="preserve"> </w:t>
      </w:r>
    </w:p>
    <w:p w:rsidR="00B071E7" w:rsidRDefault="00B071E7" w:rsidP="001735B8"/>
    <w:p w:rsidR="001735B8" w:rsidRDefault="001735B8" w:rsidP="001735B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1735B8">
        <w:t xml:space="preserve">Este estudio comprendió la verificación de la puesta en práctica de las recomendaciones vertidas en </w:t>
      </w:r>
      <w:r w:rsidR="00C50211">
        <w:t xml:space="preserve">el </w:t>
      </w:r>
      <w:r w:rsidR="00C50211">
        <w:rPr>
          <w:i/>
        </w:rPr>
        <w:t>Informe 18-10 Proceso de Formulación Presupuestaria</w:t>
      </w:r>
      <w:r w:rsidRPr="001735B8">
        <w:t>, por medio del análisis documental.</w:t>
      </w:r>
    </w:p>
    <w:p w:rsidR="003714BF" w:rsidRDefault="003714BF" w:rsidP="001735B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p>
    <w:p w:rsidR="003714BF" w:rsidRPr="00CC2317" w:rsidRDefault="003714BF" w:rsidP="003714BF">
      <w:pPr>
        <w:pStyle w:val="Textoindependiente"/>
        <w:tabs>
          <w:tab w:val="left" w:pos="540"/>
        </w:tabs>
        <w:rPr>
          <w:rFonts w:ascii="Times New Roman" w:hAnsi="Times New Roman"/>
          <w:szCs w:val="24"/>
        </w:rPr>
      </w:pPr>
      <w:r w:rsidRPr="00CC2317">
        <w:rPr>
          <w:rFonts w:ascii="Times New Roman" w:hAnsi="Times New Roman"/>
          <w:szCs w:val="24"/>
        </w:rPr>
        <w:t xml:space="preserve">La comprobación se efectuó por medio de la información recibida y el análisis de documentos obtenidos. El seguimiento de las recomendaciones fue realizado por la Licda. Katerin Hidalgo Leitón, bajo la </w:t>
      </w:r>
      <w:r w:rsidR="00362013">
        <w:rPr>
          <w:rFonts w:ascii="Times New Roman" w:hAnsi="Times New Roman"/>
          <w:szCs w:val="24"/>
        </w:rPr>
        <w:t xml:space="preserve">supervisión </w:t>
      </w:r>
      <w:r>
        <w:rPr>
          <w:rFonts w:ascii="Times New Roman" w:hAnsi="Times New Roman"/>
          <w:szCs w:val="24"/>
        </w:rPr>
        <w:t>del Lic. Eric Rivas Ellis y la d</w:t>
      </w:r>
      <w:r w:rsidRPr="00CC2317">
        <w:rPr>
          <w:rFonts w:ascii="Times New Roman" w:hAnsi="Times New Roman"/>
          <w:szCs w:val="24"/>
        </w:rPr>
        <w:t>irección de la Licda. Alba Camacho De la O, Jefe del Departamento de Auditor</w:t>
      </w:r>
      <w:r>
        <w:rPr>
          <w:rFonts w:ascii="Times New Roman" w:hAnsi="Times New Roman"/>
          <w:szCs w:val="24"/>
        </w:rPr>
        <w:t>ía de Evaluación y Cumplimiento.</w:t>
      </w:r>
    </w:p>
    <w:p w:rsidR="001735B8" w:rsidRDefault="001735B8" w:rsidP="001735B8"/>
    <w:p w:rsidR="00B071E7" w:rsidRDefault="00B071E7" w:rsidP="00B071E7">
      <w:pPr>
        <w:pStyle w:val="Ttulo2"/>
        <w:spacing w:before="0" w:beforeAutospacing="0" w:after="0" w:afterAutospacing="0"/>
        <w:rPr>
          <w:sz w:val="24"/>
          <w:szCs w:val="24"/>
        </w:rPr>
      </w:pPr>
      <w:bookmarkStart w:id="3" w:name="_Toc531341154"/>
      <w:r w:rsidRPr="008005FA">
        <w:rPr>
          <w:sz w:val="24"/>
          <w:szCs w:val="24"/>
        </w:rPr>
        <w:t>1.</w:t>
      </w:r>
      <w:r>
        <w:rPr>
          <w:sz w:val="24"/>
          <w:szCs w:val="24"/>
        </w:rPr>
        <w:t>3</w:t>
      </w:r>
      <w:r w:rsidRPr="008005FA">
        <w:rPr>
          <w:sz w:val="24"/>
          <w:szCs w:val="24"/>
        </w:rPr>
        <w:t xml:space="preserve"> </w:t>
      </w:r>
      <w:r>
        <w:rPr>
          <w:sz w:val="24"/>
          <w:szCs w:val="24"/>
        </w:rPr>
        <w:t>Antecedentes</w:t>
      </w:r>
      <w:bookmarkEnd w:id="3"/>
      <w:r w:rsidRPr="008005FA">
        <w:rPr>
          <w:sz w:val="24"/>
          <w:szCs w:val="24"/>
        </w:rPr>
        <w:t xml:space="preserve"> </w:t>
      </w:r>
    </w:p>
    <w:p w:rsidR="00453D12" w:rsidRDefault="00453D12" w:rsidP="008005FA">
      <w:pPr>
        <w:jc w:val="both"/>
      </w:pPr>
    </w:p>
    <w:p w:rsidR="001735B8" w:rsidRPr="003714BF" w:rsidRDefault="003714BF" w:rsidP="003714BF">
      <w:pPr>
        <w:jc w:val="both"/>
      </w:pPr>
      <w:r>
        <w:t xml:space="preserve">El Departamento Auditoría de Evaluación y Cumplimiento realiza un estudio de actualización de la implementación de las recomendaciones vertidas en el </w:t>
      </w:r>
      <w:r w:rsidR="001735B8" w:rsidRPr="001735B8">
        <w:rPr>
          <w:i/>
        </w:rPr>
        <w:t>Informe</w:t>
      </w:r>
      <w:r w:rsidR="00AA482E">
        <w:rPr>
          <w:i/>
        </w:rPr>
        <w:t xml:space="preserve"> </w:t>
      </w:r>
      <w:r w:rsidR="009520FA">
        <w:rPr>
          <w:i/>
        </w:rPr>
        <w:t xml:space="preserve">18-10 Proceso de Formulación Presupuestaria </w:t>
      </w:r>
      <w:r>
        <w:rPr>
          <w:i/>
        </w:rPr>
        <w:t xml:space="preserve"> </w:t>
      </w:r>
      <w:r w:rsidRPr="003714BF">
        <w:t>que se encuentran pendientes de implementar. Se transcribe la conclusión a la que se llegó en el informe objeto de estudio en la que se establece lo siguiente</w:t>
      </w:r>
      <w:r w:rsidR="001735B8" w:rsidRPr="003714BF">
        <w:t xml:space="preserve">: </w:t>
      </w:r>
    </w:p>
    <w:p w:rsidR="001735B8" w:rsidRDefault="001735B8" w:rsidP="008005FA">
      <w:pPr>
        <w:jc w:val="both"/>
      </w:pPr>
    </w:p>
    <w:p w:rsidR="007C0B50" w:rsidRPr="007C0B50" w:rsidRDefault="007C0B50" w:rsidP="007C0B50">
      <w:pPr>
        <w:ind w:left="567"/>
        <w:jc w:val="both"/>
        <w:rPr>
          <w:i/>
          <w:sz w:val="22"/>
          <w:szCs w:val="22"/>
        </w:rPr>
      </w:pPr>
      <w:r w:rsidRPr="007C0B50">
        <w:rPr>
          <w:i/>
          <w:sz w:val="22"/>
          <w:szCs w:val="22"/>
        </w:rPr>
        <w:t>De acuerdo a los resultados obtenidos al evaluar el cumplimiento de las leyes, principios, técnicas, métodos y procedimientos dictados para el proceso de Formulación y Programación Presupuestaria del Ministerio de Educación Pública para el 2010 se concluye que dichos procesos son razonables en torno al cumplimiento y aplicación de la normativa vigente. No obstante, el procedimiento aplicado en el registro de la información y en el cumplimiento de plazos no es el más idóneo, lo que puede perjudicar el funcionamiento del proceso.</w:t>
      </w:r>
    </w:p>
    <w:p w:rsidR="007C0B50" w:rsidRDefault="007C0B50" w:rsidP="008005FA">
      <w:pPr>
        <w:jc w:val="both"/>
      </w:pPr>
    </w:p>
    <w:p w:rsidR="00362013" w:rsidRDefault="003714BF" w:rsidP="008005FA">
      <w:pPr>
        <w:jc w:val="both"/>
      </w:pPr>
      <w:r>
        <w:t>Derivado de esta conclusión se establecen 3 recomendaciones las cuales se someten a un estudio de seguimiento a su implementación.</w:t>
      </w:r>
    </w:p>
    <w:p w:rsidR="00453D12" w:rsidRPr="00AD0264" w:rsidRDefault="00453D12" w:rsidP="00AD0264">
      <w:pPr>
        <w:pStyle w:val="Ttulo1"/>
        <w:rPr>
          <w:rFonts w:ascii="Times New Roman" w:hAnsi="Times New Roman" w:cs="Times New Roman"/>
          <w:b/>
          <w:color w:val="auto"/>
          <w:sz w:val="28"/>
          <w:szCs w:val="28"/>
        </w:rPr>
      </w:pPr>
      <w:bookmarkStart w:id="4" w:name="_Toc531341155"/>
      <w:r w:rsidRPr="00AD0264">
        <w:rPr>
          <w:rFonts w:ascii="Times New Roman" w:hAnsi="Times New Roman" w:cs="Times New Roman"/>
          <w:b/>
          <w:color w:val="auto"/>
          <w:sz w:val="28"/>
          <w:szCs w:val="28"/>
        </w:rPr>
        <w:t xml:space="preserve">2. </w:t>
      </w:r>
      <w:r w:rsidR="00A04EB0" w:rsidRPr="00AD0264">
        <w:rPr>
          <w:rFonts w:ascii="Times New Roman" w:hAnsi="Times New Roman" w:cs="Times New Roman"/>
          <w:b/>
          <w:color w:val="auto"/>
          <w:sz w:val="28"/>
          <w:szCs w:val="28"/>
        </w:rPr>
        <w:t>HALLAZGOS Y RECOMENDACIONES</w:t>
      </w:r>
      <w:bookmarkEnd w:id="4"/>
      <w:r w:rsidRPr="00AD0264">
        <w:rPr>
          <w:rFonts w:ascii="Times New Roman" w:hAnsi="Times New Roman" w:cs="Times New Roman"/>
          <w:b/>
          <w:color w:val="auto"/>
          <w:sz w:val="28"/>
          <w:szCs w:val="28"/>
        </w:rPr>
        <w:t xml:space="preserve"> </w:t>
      </w:r>
    </w:p>
    <w:p w:rsidR="0085530E" w:rsidRDefault="0085530E" w:rsidP="008005FA">
      <w:pPr>
        <w:jc w:val="both"/>
        <w:rPr>
          <w:b/>
        </w:rPr>
      </w:pPr>
    </w:p>
    <w:p w:rsidR="001735B8" w:rsidRPr="001735B8" w:rsidRDefault="0004749E" w:rsidP="001735B8">
      <w:pPr>
        <w:jc w:val="both"/>
      </w:pPr>
      <w:r>
        <w:t xml:space="preserve">Del citado </w:t>
      </w:r>
      <w:r w:rsidR="001735B8" w:rsidRPr="001735B8">
        <w:t xml:space="preserve">informe se emitieron recomendaciones dirigidas a la </w:t>
      </w:r>
      <w:r w:rsidR="00897D90">
        <w:t xml:space="preserve">Dirección de Planificación y a la </w:t>
      </w:r>
      <w:r w:rsidR="002A6DC0">
        <w:t xml:space="preserve">Dirección de </w:t>
      </w:r>
      <w:r w:rsidR="00897D90">
        <w:t xml:space="preserve">Proveeduría Institucional, </w:t>
      </w:r>
      <w:r w:rsidR="001735B8" w:rsidRPr="001735B8">
        <w:t>por lo que a continuación, se presenta la transcripción de cad</w:t>
      </w:r>
      <w:r w:rsidR="00897D90">
        <w:t>a una de las recomendaciones de</w:t>
      </w:r>
      <w:r w:rsidR="001735B8" w:rsidRPr="001735B8">
        <w:t>l informe, las cuales fueron objeto de</w:t>
      </w:r>
      <w:r w:rsidR="00271E03">
        <w:t xml:space="preserve"> seguimiento; de la misma forma y</w:t>
      </w:r>
      <w:r w:rsidR="001735B8" w:rsidRPr="001735B8">
        <w:t xml:space="preserve"> se consignan las acciones realizadas para su cumplimiento.</w:t>
      </w:r>
    </w:p>
    <w:p w:rsidR="001735B8" w:rsidRDefault="001735B8" w:rsidP="001735B8"/>
    <w:p w:rsidR="00271E03" w:rsidRDefault="00271E03" w:rsidP="001735B8"/>
    <w:p w:rsidR="003B7C2A" w:rsidRDefault="003B7C2A" w:rsidP="001735B8"/>
    <w:p w:rsidR="001735B8" w:rsidRPr="00271E03" w:rsidRDefault="001735B8" w:rsidP="00271E03">
      <w:pPr>
        <w:ind w:left="567"/>
        <w:rPr>
          <w:b/>
          <w:sz w:val="22"/>
          <w:szCs w:val="22"/>
        </w:rPr>
      </w:pPr>
      <w:r w:rsidRPr="00271E03">
        <w:rPr>
          <w:b/>
          <w:sz w:val="22"/>
          <w:szCs w:val="22"/>
        </w:rPr>
        <w:lastRenderedPageBreak/>
        <w:t xml:space="preserve">A la </w:t>
      </w:r>
      <w:r w:rsidR="00D54C66" w:rsidRPr="00271E03">
        <w:rPr>
          <w:b/>
          <w:sz w:val="22"/>
          <w:szCs w:val="22"/>
        </w:rPr>
        <w:t>Dirección de Planificación</w:t>
      </w:r>
    </w:p>
    <w:p w:rsidR="001735B8" w:rsidRPr="00271E03" w:rsidRDefault="001735B8" w:rsidP="00271E03">
      <w:pPr>
        <w:ind w:left="567"/>
        <w:rPr>
          <w:sz w:val="22"/>
          <w:szCs w:val="22"/>
        </w:rPr>
      </w:pPr>
    </w:p>
    <w:p w:rsidR="001735B8" w:rsidRPr="00271E03" w:rsidRDefault="00D54C66" w:rsidP="00271E03">
      <w:pPr>
        <w:ind w:left="567"/>
        <w:jc w:val="both"/>
        <w:rPr>
          <w:i/>
          <w:sz w:val="22"/>
          <w:szCs w:val="22"/>
        </w:rPr>
      </w:pPr>
      <w:r w:rsidRPr="00271E03">
        <w:rPr>
          <w:b/>
          <w:i/>
          <w:sz w:val="22"/>
          <w:szCs w:val="22"/>
        </w:rPr>
        <w:t>4.1</w:t>
      </w:r>
      <w:r w:rsidRPr="00271E03">
        <w:rPr>
          <w:i/>
          <w:sz w:val="22"/>
          <w:szCs w:val="22"/>
        </w:rPr>
        <w:t xml:space="preserve"> Aplicar medidas de control previo y posterior a la inclusión de la información al sistema de Formulación del Presupuesto, con el fin de evitar errores en la información que se envía a la Dirección de Presupuesto Nacional.</w:t>
      </w:r>
    </w:p>
    <w:p w:rsidR="00C6570C" w:rsidRPr="00271E03" w:rsidRDefault="00C6570C" w:rsidP="00271E03">
      <w:pPr>
        <w:ind w:left="567"/>
        <w:jc w:val="both"/>
        <w:rPr>
          <w:sz w:val="22"/>
          <w:szCs w:val="22"/>
        </w:rPr>
      </w:pPr>
    </w:p>
    <w:p w:rsidR="0004749E" w:rsidRPr="00271E03" w:rsidRDefault="0004749E" w:rsidP="00271E03">
      <w:pPr>
        <w:ind w:left="567"/>
        <w:jc w:val="both"/>
        <w:rPr>
          <w:i/>
          <w:sz w:val="22"/>
          <w:szCs w:val="22"/>
        </w:rPr>
      </w:pPr>
      <w:r w:rsidRPr="00271E03">
        <w:rPr>
          <w:b/>
          <w:i/>
          <w:sz w:val="22"/>
          <w:szCs w:val="22"/>
        </w:rPr>
        <w:t>4.2</w:t>
      </w:r>
      <w:r w:rsidRPr="00271E03">
        <w:rPr>
          <w:i/>
          <w:sz w:val="22"/>
          <w:szCs w:val="22"/>
        </w:rPr>
        <w:t xml:space="preserve"> Acatar la Directriz emitida por la Dirección General de Planificación Nacional del Ministerio de Hacienda en cuanto a la presentación oportuna del anteproyecto de relación de puestos y el anteproyecto de presupuestos.</w:t>
      </w:r>
    </w:p>
    <w:p w:rsidR="00362013" w:rsidRPr="009520FA" w:rsidRDefault="00362013" w:rsidP="008005FA">
      <w:pPr>
        <w:jc w:val="both"/>
      </w:pPr>
    </w:p>
    <w:p w:rsidR="0059243E" w:rsidRDefault="00C310BC" w:rsidP="008005FA">
      <w:pPr>
        <w:jc w:val="both"/>
      </w:pPr>
      <w:r>
        <w:t xml:space="preserve">En </w:t>
      </w:r>
      <w:r w:rsidR="00271E03">
        <w:t xml:space="preserve">aquel momento se recibe </w:t>
      </w:r>
      <w:r>
        <w:t xml:space="preserve">el </w:t>
      </w:r>
      <w:r w:rsidR="00271E03">
        <w:t xml:space="preserve">oficio </w:t>
      </w:r>
      <w:r>
        <w:t xml:space="preserve">DPF-3357-10, la Dirección de Planificación institucional señaló lo siguiente: </w:t>
      </w:r>
      <w:r w:rsidR="00D87097" w:rsidRPr="00D87097">
        <w:rPr>
          <w:i/>
        </w:rPr>
        <w:t>“</w:t>
      </w:r>
      <w:r w:rsidRPr="00D87097">
        <w:rPr>
          <w:i/>
        </w:rPr>
        <w:t>…el proceso de formulación de presupuesto 2011 ya concluyó, estaríamos aplicando el cronograma propuesto seguidamente en el proceso de presupuestación con miras al ejercicio presupuestario 2012.</w:t>
      </w:r>
      <w:r w:rsidR="00D87097" w:rsidRPr="00D87097">
        <w:rPr>
          <w:i/>
        </w:rPr>
        <w:t>”</w:t>
      </w:r>
    </w:p>
    <w:p w:rsidR="00362013" w:rsidRDefault="00362013" w:rsidP="008005FA">
      <w:pPr>
        <w:jc w:val="both"/>
      </w:pPr>
    </w:p>
    <w:p w:rsidR="00C310BC" w:rsidRDefault="00C310BC" w:rsidP="008005FA">
      <w:pPr>
        <w:jc w:val="both"/>
      </w:pPr>
      <w:r>
        <w:t>Ahora bien, para acatar las recomendaciones se propusieron las siguientes acciones:</w:t>
      </w:r>
    </w:p>
    <w:p w:rsidR="00271E03" w:rsidRDefault="00271E03" w:rsidP="008005FA">
      <w:pPr>
        <w:jc w:val="both"/>
      </w:pPr>
    </w:p>
    <w:p w:rsidR="00C310BC" w:rsidRPr="005441E2" w:rsidRDefault="00C310BC" w:rsidP="005441E2">
      <w:pPr>
        <w:ind w:left="567"/>
        <w:jc w:val="both"/>
        <w:rPr>
          <w:i/>
          <w:sz w:val="22"/>
          <w:szCs w:val="22"/>
        </w:rPr>
      </w:pPr>
      <w:r w:rsidRPr="005441E2">
        <w:rPr>
          <w:i/>
          <w:sz w:val="22"/>
          <w:szCs w:val="22"/>
        </w:rPr>
        <w:t>…se designará a un funcionario encargado de verificar las cédulas jurídicas de las diferentes transferencias antes de ser ingresadas al Sistema de Formulación de Presupuesto, así como también de revisar posterior a su ingreso los datos para evitar errores de digitación, asimismo, daremos inicio al proceso de Formulación Presupuestaria con suficiente antelación de manera que se logre cumplir con las fechas establecidas de manera oportuna</w:t>
      </w:r>
    </w:p>
    <w:p w:rsidR="0059243E" w:rsidRDefault="0059243E" w:rsidP="008005FA">
      <w:pPr>
        <w:jc w:val="both"/>
      </w:pPr>
    </w:p>
    <w:p w:rsidR="002A6DC0" w:rsidRDefault="002A6DC0" w:rsidP="008005FA">
      <w:pPr>
        <w:jc w:val="both"/>
      </w:pPr>
      <w:r>
        <w:t>El 24 de setiembre del 2018, por medio del oficio DPI-1025-2018, el Director de Planificación institucional indicó lo siguiente:</w:t>
      </w:r>
    </w:p>
    <w:p w:rsidR="002A6DC0" w:rsidRDefault="002A6DC0" w:rsidP="008005FA">
      <w:pPr>
        <w:jc w:val="both"/>
      </w:pPr>
    </w:p>
    <w:p w:rsidR="00EF02D0" w:rsidRPr="009520FA" w:rsidRDefault="00EF02D0" w:rsidP="009520FA">
      <w:pPr>
        <w:ind w:left="567"/>
        <w:jc w:val="both"/>
        <w:rPr>
          <w:i/>
          <w:sz w:val="22"/>
          <w:szCs w:val="22"/>
        </w:rPr>
      </w:pPr>
      <w:r w:rsidRPr="009520FA">
        <w:rPr>
          <w:i/>
          <w:sz w:val="22"/>
          <w:szCs w:val="22"/>
        </w:rPr>
        <w:t>En el punto 4.1 todos los analistas del Departamento de Formulación Presupuestaria tienen la responsabilidad de validar e incluir las cedulas jurídicas. A los analistas se les asigna al inicio del proceso un programa presupuestario y de este son los encargados de incluir, analizar y velar por la correcta gestión de la información.</w:t>
      </w:r>
    </w:p>
    <w:p w:rsidR="00EF02D0" w:rsidRPr="009520FA" w:rsidRDefault="00EF02D0" w:rsidP="009520FA">
      <w:pPr>
        <w:ind w:left="567"/>
        <w:jc w:val="both"/>
        <w:rPr>
          <w:i/>
          <w:sz w:val="22"/>
          <w:szCs w:val="22"/>
        </w:rPr>
      </w:pPr>
    </w:p>
    <w:p w:rsidR="009520FA" w:rsidRPr="009520FA" w:rsidRDefault="003C394E" w:rsidP="009520FA">
      <w:pPr>
        <w:ind w:left="567"/>
        <w:jc w:val="both"/>
        <w:rPr>
          <w:i/>
          <w:sz w:val="22"/>
          <w:szCs w:val="22"/>
        </w:rPr>
      </w:pPr>
      <w:r w:rsidRPr="009520FA">
        <w:rPr>
          <w:i/>
          <w:sz w:val="22"/>
          <w:szCs w:val="22"/>
        </w:rPr>
        <w:t>En cuanto al proceso de inclusión en el Sistema de Formulación Presupuestaria del Ministerio de Hacienda, los analistas incluyen la informaci</w:t>
      </w:r>
      <w:r w:rsidR="00203FD5" w:rsidRPr="009520FA">
        <w:rPr>
          <w:i/>
          <w:sz w:val="22"/>
          <w:szCs w:val="22"/>
        </w:rPr>
        <w:t>ón y luego se realiza una revisión de la información incluida, así como el de solicitar la</w:t>
      </w:r>
      <w:r w:rsidR="009520FA" w:rsidRPr="009520FA">
        <w:rPr>
          <w:i/>
          <w:sz w:val="22"/>
          <w:szCs w:val="22"/>
        </w:rPr>
        <w:t>s cedulas jurídicas y la base legal de las transferencias que son necesarias para la formulación del anteproyecto, este proceso está a cargo del coordinador de transferencias y la jefatura del Departamento.</w:t>
      </w:r>
    </w:p>
    <w:p w:rsidR="009520FA" w:rsidRDefault="009520FA" w:rsidP="008005FA">
      <w:pPr>
        <w:jc w:val="both"/>
      </w:pPr>
    </w:p>
    <w:p w:rsidR="0004749E" w:rsidRPr="0004749E" w:rsidRDefault="0004749E" w:rsidP="0004749E">
      <w:pPr>
        <w:ind w:left="567"/>
        <w:jc w:val="both"/>
        <w:rPr>
          <w:i/>
          <w:sz w:val="22"/>
          <w:szCs w:val="22"/>
        </w:rPr>
      </w:pPr>
      <w:r w:rsidRPr="0004749E">
        <w:rPr>
          <w:i/>
          <w:sz w:val="22"/>
          <w:szCs w:val="22"/>
        </w:rPr>
        <w:t>El proceso se inicia con mucha antelación a la emisión de las Directrices Técnicas y Metodológicas que emite la Dirección General de Presupuesto Nacional en el mes de marzo, no obstante, en algunas ocasiones se han registrado atrasos en la entrega del anteproyecto (coordinaciones políticas y de autoridades superiores, como por ejemplo la negociación del FEES), por situaciones ajenas al Departamento de Formulación Presupuestaria y a la Dirección de Planificación Institucional, dado lo anterior, se ha entregado el mismo en fechas diferentes.</w:t>
      </w:r>
    </w:p>
    <w:p w:rsidR="0004749E" w:rsidRDefault="0004749E" w:rsidP="008005FA">
      <w:pPr>
        <w:jc w:val="both"/>
      </w:pPr>
    </w:p>
    <w:p w:rsidR="003B7C2A" w:rsidRDefault="003B7C2A" w:rsidP="008005FA">
      <w:pPr>
        <w:jc w:val="both"/>
      </w:pPr>
    </w:p>
    <w:p w:rsidR="003B7C2A" w:rsidRDefault="003B7C2A" w:rsidP="008005FA">
      <w:pPr>
        <w:jc w:val="both"/>
      </w:pPr>
    </w:p>
    <w:p w:rsidR="003B7C2A" w:rsidRDefault="003B7C2A" w:rsidP="008005FA">
      <w:pPr>
        <w:jc w:val="both"/>
      </w:pPr>
    </w:p>
    <w:p w:rsidR="0004749E" w:rsidRDefault="002A6DC0" w:rsidP="008005FA">
      <w:pPr>
        <w:jc w:val="both"/>
      </w:pPr>
      <w:r>
        <w:lastRenderedPageBreak/>
        <w:t>De conformidad con lo anterior, se observó que la Dirección de Planificación Institucional se encuentra aplicando las medidas de control previo y posterior a la inclusión del sistema de Formulación Presupuestario, aunado a lo anterior, los anteproyectos se han entregado en fechas diferentes por situaciones ajenas al citado departamento, por lo tanto las recomendaciones 4.1 y 4.2 se encuentran razonablemente cumplidas</w:t>
      </w:r>
      <w:r w:rsidR="003F30FA">
        <w:t>.</w:t>
      </w:r>
      <w:r>
        <w:t xml:space="preserve"> </w:t>
      </w:r>
    </w:p>
    <w:p w:rsidR="00362013" w:rsidRDefault="00362013" w:rsidP="00EA166B">
      <w:pPr>
        <w:ind w:left="567"/>
        <w:jc w:val="both"/>
        <w:rPr>
          <w:b/>
          <w:i/>
          <w:sz w:val="22"/>
          <w:szCs w:val="22"/>
        </w:rPr>
      </w:pPr>
    </w:p>
    <w:p w:rsidR="00EF02D0" w:rsidRPr="00EA166B" w:rsidRDefault="002A6DC0" w:rsidP="00EA166B">
      <w:pPr>
        <w:ind w:left="567"/>
        <w:jc w:val="both"/>
        <w:rPr>
          <w:b/>
          <w:i/>
          <w:sz w:val="22"/>
          <w:szCs w:val="22"/>
        </w:rPr>
      </w:pPr>
      <w:r w:rsidRPr="00EA166B">
        <w:rPr>
          <w:b/>
          <w:i/>
          <w:sz w:val="22"/>
          <w:szCs w:val="22"/>
        </w:rPr>
        <w:t>A la Dirección de Proveeduría Institucional</w:t>
      </w:r>
    </w:p>
    <w:p w:rsidR="00EF02D0" w:rsidRPr="00EA166B" w:rsidRDefault="00EF02D0" w:rsidP="00EA166B">
      <w:pPr>
        <w:ind w:left="567"/>
        <w:jc w:val="both"/>
        <w:rPr>
          <w:i/>
          <w:sz w:val="22"/>
          <w:szCs w:val="22"/>
        </w:rPr>
      </w:pPr>
    </w:p>
    <w:p w:rsidR="00EF02D0" w:rsidRPr="00EA166B" w:rsidRDefault="00E84A18" w:rsidP="00EA166B">
      <w:pPr>
        <w:ind w:left="567"/>
        <w:jc w:val="both"/>
        <w:rPr>
          <w:i/>
          <w:sz w:val="22"/>
          <w:szCs w:val="22"/>
        </w:rPr>
      </w:pPr>
      <w:r w:rsidRPr="00EA166B">
        <w:rPr>
          <w:b/>
          <w:i/>
          <w:sz w:val="22"/>
          <w:szCs w:val="22"/>
        </w:rPr>
        <w:t>4.3</w:t>
      </w:r>
      <w:r w:rsidRPr="00EA166B">
        <w:rPr>
          <w:i/>
          <w:sz w:val="22"/>
          <w:szCs w:val="22"/>
        </w:rPr>
        <w:t xml:space="preserve"> Entregar al Departamento de Formulación Presupuestaria el catálogo de bienes y servicios con los precios de referencia actualizados, con el fin de que el mismo pueda ser entregado oportunamente a las diferentes dependencias del Ministerio de Educación.</w:t>
      </w:r>
    </w:p>
    <w:p w:rsidR="00EF02D0" w:rsidRDefault="00EF02D0" w:rsidP="008005FA">
      <w:pPr>
        <w:jc w:val="both"/>
      </w:pPr>
    </w:p>
    <w:p w:rsidR="00E84A18" w:rsidRDefault="00E84A18" w:rsidP="008005FA">
      <w:pPr>
        <w:jc w:val="both"/>
      </w:pPr>
      <w:r>
        <w:t xml:space="preserve">La Dirección de Proveeduría Institucional, por medio del oficio D.PROV-I-PC-1523-2010 de fecha 4 de agosto del 2010, </w:t>
      </w:r>
      <w:r w:rsidR="00BC6C44">
        <w:t>el cual establece lo siguiente:</w:t>
      </w:r>
    </w:p>
    <w:p w:rsidR="00BC6C44" w:rsidRDefault="00BC6C44" w:rsidP="008005FA">
      <w:pPr>
        <w:jc w:val="both"/>
      </w:pPr>
    </w:p>
    <w:p w:rsidR="00BC6C44" w:rsidRPr="0017025F" w:rsidRDefault="00BC6C44" w:rsidP="0017025F">
      <w:pPr>
        <w:ind w:left="567"/>
        <w:jc w:val="both"/>
        <w:rPr>
          <w:i/>
          <w:sz w:val="22"/>
          <w:szCs w:val="22"/>
        </w:rPr>
      </w:pPr>
      <w:r w:rsidRPr="0017025F">
        <w:rPr>
          <w:i/>
          <w:sz w:val="22"/>
          <w:szCs w:val="22"/>
        </w:rPr>
        <w:t>…Nos permitimos manifestar que esta actividad, está en nuestro plan de trabajo y se ha llevado a cabo en los meses de noviembre y diciembre de cada año, la misma considera actualizar todos los precios de referencia en relación con todas las mejores últimas compras de artículos de todas las contrataciones en un periodo presupuestario.</w:t>
      </w:r>
    </w:p>
    <w:p w:rsidR="00BC6C44" w:rsidRPr="0017025F" w:rsidRDefault="00BC6C44" w:rsidP="0017025F">
      <w:pPr>
        <w:ind w:left="567"/>
        <w:jc w:val="both"/>
        <w:rPr>
          <w:i/>
          <w:sz w:val="22"/>
          <w:szCs w:val="22"/>
        </w:rPr>
      </w:pPr>
    </w:p>
    <w:p w:rsidR="00BC6C44" w:rsidRPr="0017025F" w:rsidRDefault="00BC6C44" w:rsidP="0017025F">
      <w:pPr>
        <w:ind w:left="567"/>
        <w:jc w:val="both"/>
        <w:rPr>
          <w:i/>
          <w:sz w:val="22"/>
          <w:szCs w:val="22"/>
        </w:rPr>
      </w:pPr>
      <w:r w:rsidRPr="0017025F">
        <w:rPr>
          <w:i/>
          <w:sz w:val="22"/>
          <w:szCs w:val="22"/>
        </w:rPr>
        <w:t>Si debe ser claro que para dicha actualización no se consideran los gastos por servicios, por cuanto los mismos son variables, dependiendo el servicio a satisfacer, así mismo no se consideran precios de artículos nuevos o que no se hayan adquirido en el período presupuestario que se esté analizando.</w:t>
      </w:r>
    </w:p>
    <w:p w:rsidR="00BC6C44" w:rsidRPr="0017025F" w:rsidRDefault="00BC6C44" w:rsidP="0017025F">
      <w:pPr>
        <w:ind w:left="567"/>
        <w:jc w:val="both"/>
        <w:rPr>
          <w:i/>
          <w:sz w:val="22"/>
          <w:szCs w:val="22"/>
        </w:rPr>
      </w:pPr>
    </w:p>
    <w:p w:rsidR="00B753C5" w:rsidRPr="0017025F" w:rsidRDefault="00BC6C44" w:rsidP="0017025F">
      <w:pPr>
        <w:ind w:left="567"/>
        <w:jc w:val="both"/>
        <w:rPr>
          <w:i/>
          <w:sz w:val="22"/>
          <w:szCs w:val="22"/>
        </w:rPr>
      </w:pPr>
      <w:r w:rsidRPr="0017025F">
        <w:rPr>
          <w:i/>
          <w:sz w:val="22"/>
          <w:szCs w:val="22"/>
        </w:rPr>
        <w:t>Es importante y se le hace saber a nuestros clientes internos que estos precios son referenciales y que a partir de ahí, van a sufrir factores económicos que deben considerarse y ajustarse, como lo es la inflación y tipo de cambio,</w:t>
      </w:r>
      <w:r w:rsidR="00AA482E">
        <w:rPr>
          <w:i/>
          <w:sz w:val="22"/>
          <w:szCs w:val="22"/>
        </w:rPr>
        <w:t xml:space="preserve"> </w:t>
      </w:r>
      <w:r w:rsidRPr="0017025F">
        <w:rPr>
          <w:i/>
          <w:sz w:val="22"/>
          <w:szCs w:val="22"/>
        </w:rPr>
        <w:t>que se da un año después de la formulación presupuestaria, por lo que siempre reiteramos que son precios de referencia para efectos presupuestarios, de ahí que cada unidad gestora debe utilizar e indagar por cualquier medio</w:t>
      </w:r>
      <w:r w:rsidR="009F4F85" w:rsidRPr="0017025F">
        <w:rPr>
          <w:i/>
          <w:sz w:val="22"/>
          <w:szCs w:val="22"/>
        </w:rPr>
        <w:t>, ya sea en Internet, telefónico o solicitando proformas en el mercado nacional, para obtener un precio real y proyectarlo a la fecha de compra</w:t>
      </w:r>
      <w:r w:rsidR="00B753C5" w:rsidRPr="0017025F">
        <w:rPr>
          <w:i/>
          <w:sz w:val="22"/>
          <w:szCs w:val="22"/>
        </w:rPr>
        <w:t>, considerando los límites presupuestarios.</w:t>
      </w:r>
    </w:p>
    <w:p w:rsidR="00B753C5" w:rsidRPr="0017025F" w:rsidRDefault="00B753C5" w:rsidP="0017025F">
      <w:pPr>
        <w:ind w:left="567"/>
        <w:jc w:val="both"/>
        <w:rPr>
          <w:i/>
          <w:sz w:val="22"/>
          <w:szCs w:val="22"/>
        </w:rPr>
      </w:pPr>
    </w:p>
    <w:p w:rsidR="00BC6C44" w:rsidRPr="0017025F" w:rsidRDefault="00B753C5" w:rsidP="0017025F">
      <w:pPr>
        <w:ind w:left="567"/>
        <w:jc w:val="both"/>
        <w:rPr>
          <w:i/>
          <w:sz w:val="22"/>
          <w:szCs w:val="22"/>
        </w:rPr>
      </w:pPr>
      <w:r w:rsidRPr="0017025F">
        <w:rPr>
          <w:i/>
          <w:sz w:val="22"/>
          <w:szCs w:val="22"/>
        </w:rPr>
        <w:t>Por otra parte existen tres subpartidas presupuestarias, a saber:</w:t>
      </w:r>
    </w:p>
    <w:p w:rsidR="00B753C5" w:rsidRPr="0017025F" w:rsidRDefault="00B753C5" w:rsidP="0017025F">
      <w:pPr>
        <w:ind w:left="567"/>
        <w:jc w:val="both"/>
        <w:rPr>
          <w:i/>
          <w:sz w:val="22"/>
          <w:szCs w:val="22"/>
        </w:rPr>
      </w:pPr>
      <w:r w:rsidRPr="0017025F">
        <w:rPr>
          <w:i/>
          <w:sz w:val="22"/>
          <w:szCs w:val="22"/>
        </w:rPr>
        <w:t>20104 Tintas, pinturas y diluyentes</w:t>
      </w:r>
    </w:p>
    <w:p w:rsidR="00B753C5" w:rsidRPr="0017025F" w:rsidRDefault="00B753C5" w:rsidP="0017025F">
      <w:pPr>
        <w:ind w:left="567"/>
        <w:jc w:val="both"/>
        <w:rPr>
          <w:i/>
          <w:sz w:val="22"/>
          <w:szCs w:val="22"/>
        </w:rPr>
      </w:pPr>
      <w:r w:rsidRPr="0017025F">
        <w:rPr>
          <w:i/>
          <w:sz w:val="22"/>
          <w:szCs w:val="22"/>
        </w:rPr>
        <w:t>29901 Útiles y materiales de oficina</w:t>
      </w:r>
    </w:p>
    <w:p w:rsidR="00B753C5" w:rsidRPr="0017025F" w:rsidRDefault="00B753C5" w:rsidP="0017025F">
      <w:pPr>
        <w:ind w:left="567"/>
        <w:jc w:val="both"/>
        <w:rPr>
          <w:i/>
          <w:sz w:val="22"/>
          <w:szCs w:val="22"/>
        </w:rPr>
      </w:pPr>
      <w:r w:rsidRPr="0017025F">
        <w:rPr>
          <w:i/>
          <w:sz w:val="22"/>
          <w:szCs w:val="22"/>
        </w:rPr>
        <w:t>29903 productos de papel, cartón e impresos</w:t>
      </w:r>
    </w:p>
    <w:p w:rsidR="00B753C5" w:rsidRPr="0017025F" w:rsidRDefault="00B753C5" w:rsidP="0017025F">
      <w:pPr>
        <w:ind w:left="567"/>
        <w:jc w:val="both"/>
        <w:rPr>
          <w:i/>
          <w:sz w:val="22"/>
          <w:szCs w:val="22"/>
        </w:rPr>
      </w:pPr>
    </w:p>
    <w:p w:rsidR="00B753C5" w:rsidRPr="0017025F" w:rsidRDefault="00B753C5" w:rsidP="0017025F">
      <w:pPr>
        <w:ind w:left="567"/>
        <w:jc w:val="both"/>
        <w:rPr>
          <w:i/>
          <w:sz w:val="22"/>
          <w:szCs w:val="22"/>
        </w:rPr>
      </w:pPr>
      <w:r w:rsidRPr="0017025F">
        <w:rPr>
          <w:i/>
          <w:sz w:val="22"/>
          <w:szCs w:val="22"/>
        </w:rPr>
        <w:t>Que están incluidas en el contrato marco licitación pública 2008LN-00001 CMBYC, adjudicada a las empresa (Fesa) Formas eficientes S.A. e I.S. Productos de oficina (*), compras que se efectúan directamente bajo esta modalidad, por lo que el catálogo de bienes y servicios tiene una sección específica para esta modalidad, los precios y especificaciones son dadas por las empresas señaladas y comunicados a las proveedurías por parte de la Dirección General de Bienes y Contratación Administrativa.</w:t>
      </w:r>
    </w:p>
    <w:p w:rsidR="00B753C5" w:rsidRPr="0017025F" w:rsidRDefault="00B753C5" w:rsidP="0017025F">
      <w:pPr>
        <w:ind w:left="567"/>
        <w:jc w:val="both"/>
        <w:rPr>
          <w:i/>
          <w:sz w:val="22"/>
          <w:szCs w:val="22"/>
        </w:rPr>
      </w:pPr>
    </w:p>
    <w:p w:rsidR="003B7C2A" w:rsidRDefault="003B7C2A" w:rsidP="0017025F">
      <w:pPr>
        <w:ind w:left="567"/>
        <w:jc w:val="both"/>
        <w:rPr>
          <w:i/>
          <w:sz w:val="22"/>
          <w:szCs w:val="22"/>
        </w:rPr>
      </w:pPr>
    </w:p>
    <w:p w:rsidR="003B7C2A" w:rsidRDefault="003B7C2A" w:rsidP="0017025F">
      <w:pPr>
        <w:ind w:left="567"/>
        <w:jc w:val="both"/>
        <w:rPr>
          <w:i/>
          <w:sz w:val="22"/>
          <w:szCs w:val="22"/>
        </w:rPr>
      </w:pPr>
    </w:p>
    <w:p w:rsidR="003B7C2A" w:rsidRDefault="003B7C2A" w:rsidP="0017025F">
      <w:pPr>
        <w:ind w:left="567"/>
        <w:jc w:val="both"/>
        <w:rPr>
          <w:i/>
          <w:sz w:val="22"/>
          <w:szCs w:val="22"/>
        </w:rPr>
      </w:pPr>
    </w:p>
    <w:p w:rsidR="00B753C5" w:rsidRPr="0017025F" w:rsidRDefault="0017025F" w:rsidP="0017025F">
      <w:pPr>
        <w:ind w:left="567"/>
        <w:jc w:val="both"/>
        <w:rPr>
          <w:i/>
          <w:sz w:val="22"/>
          <w:szCs w:val="22"/>
        </w:rPr>
      </w:pPr>
      <w:r w:rsidRPr="0017025F">
        <w:rPr>
          <w:i/>
          <w:sz w:val="22"/>
          <w:szCs w:val="22"/>
        </w:rPr>
        <w:lastRenderedPageBreak/>
        <w:t>En el mes de enero de cada año, el Departamento de Planificación y Control de la Dirección de la Proveeduría Institucional, envía vía correo electrónico un archivo digital del catalogo (sic) Institucional de Bienes y Servicios a todos los jefes de programa, coordinadores de programa y enlaces de Unidades Gestoras, para que ellos utilicen esta herramienta para la confección de las respectivas solicitudes de Pedido.</w:t>
      </w:r>
    </w:p>
    <w:p w:rsidR="00EF02D0" w:rsidRPr="0017025F" w:rsidRDefault="00EF02D0" w:rsidP="0017025F">
      <w:pPr>
        <w:ind w:left="567"/>
        <w:jc w:val="both"/>
        <w:rPr>
          <w:i/>
          <w:sz w:val="22"/>
          <w:szCs w:val="22"/>
        </w:rPr>
      </w:pPr>
    </w:p>
    <w:p w:rsidR="00EF02D0" w:rsidRPr="0017025F" w:rsidRDefault="0017025F" w:rsidP="0017025F">
      <w:pPr>
        <w:ind w:left="567"/>
        <w:jc w:val="both"/>
        <w:rPr>
          <w:i/>
          <w:sz w:val="22"/>
          <w:szCs w:val="22"/>
        </w:rPr>
      </w:pPr>
      <w:r w:rsidRPr="0017025F">
        <w:rPr>
          <w:i/>
          <w:sz w:val="22"/>
          <w:szCs w:val="22"/>
        </w:rPr>
        <w:t>A mismo al 30 de enero de cada año, se remitirá dicho archivo digital al Departamento de Formulación Presupuestaria, con el fin que sea una herramienta coadyuvante al ejercicio de formulación del presupuesto institucional.</w:t>
      </w:r>
    </w:p>
    <w:p w:rsidR="00EF02D0" w:rsidRDefault="00EF02D0" w:rsidP="008005FA">
      <w:pPr>
        <w:jc w:val="both"/>
      </w:pPr>
    </w:p>
    <w:p w:rsidR="00D633C6" w:rsidRDefault="00815957" w:rsidP="008005FA">
      <w:pPr>
        <w:jc w:val="both"/>
      </w:pPr>
      <w:r>
        <w:t xml:space="preserve">Por otra parte, mediante correo electrónico de fecha 8 de febrero del 2018, el Sub Proveedor </w:t>
      </w:r>
      <w:r w:rsidR="00D633C6">
        <w:t xml:space="preserve">indicó: </w:t>
      </w:r>
      <w:r w:rsidR="00EC1EDE" w:rsidRPr="00EC1EDE">
        <w:rPr>
          <w:i/>
        </w:rPr>
        <w:t>“</w:t>
      </w:r>
      <w:r w:rsidR="00D633C6" w:rsidRPr="00EC1EDE">
        <w:rPr>
          <w:i/>
        </w:rPr>
        <w:t>…</w:t>
      </w:r>
      <w:r w:rsidR="003F30FA">
        <w:rPr>
          <w:i/>
        </w:rPr>
        <w:t>se adjunta</w:t>
      </w:r>
      <w:r w:rsidR="00AA482E">
        <w:rPr>
          <w:i/>
        </w:rPr>
        <w:t xml:space="preserve"> </w:t>
      </w:r>
      <w:r w:rsidR="003F30FA">
        <w:rPr>
          <w:i/>
        </w:rPr>
        <w:t>cronograma de Programación anual de Planificación de Adquisiciones y Financiera 2018 en la que se establece como fecha prevista el 1° de marzo 2018 (dicha fecha fue fijada por la Dirección de Planificación), para la entrega de la actualización del catálogo de precios.”</w:t>
      </w:r>
    </w:p>
    <w:p w:rsidR="00EF02D0" w:rsidRDefault="00EF02D0" w:rsidP="008005FA">
      <w:pPr>
        <w:jc w:val="both"/>
      </w:pPr>
    </w:p>
    <w:p w:rsidR="003107DE" w:rsidRDefault="003107DE" w:rsidP="008005FA">
      <w:pPr>
        <w:jc w:val="both"/>
      </w:pPr>
      <w:r>
        <w:t>Como complemento a lo indicado en el mes de febrero, el 8 de marzo del 2018</w:t>
      </w:r>
      <w:r w:rsidR="003B7C2A">
        <w:t>, esta D</w:t>
      </w:r>
      <w:r w:rsidR="006267CD">
        <w:t xml:space="preserve">irección </w:t>
      </w:r>
      <w:r w:rsidR="003B7C2A">
        <w:t xml:space="preserve">de Auditoría Interna </w:t>
      </w:r>
      <w:r w:rsidR="006267CD">
        <w:t>recibió por medio del correo electrónico</w:t>
      </w:r>
      <w:r w:rsidR="003B7C2A">
        <w:t>,</w:t>
      </w:r>
      <w:r w:rsidR="006267CD">
        <w:t xml:space="preserve"> el catálogo de precios correspondiente al citado periodo, por lo anterior, la recomendación se da por cumplida.</w:t>
      </w:r>
    </w:p>
    <w:p w:rsidR="00453D12" w:rsidRPr="00AD0264" w:rsidRDefault="00453D12" w:rsidP="00AD0264">
      <w:pPr>
        <w:pStyle w:val="Ttulo1"/>
        <w:rPr>
          <w:rFonts w:ascii="Times New Roman" w:hAnsi="Times New Roman" w:cs="Times New Roman"/>
          <w:b/>
          <w:color w:val="auto"/>
          <w:sz w:val="28"/>
          <w:szCs w:val="28"/>
        </w:rPr>
      </w:pPr>
      <w:bookmarkStart w:id="5" w:name="_Toc531341156"/>
      <w:r w:rsidRPr="00AD0264">
        <w:rPr>
          <w:rFonts w:ascii="Times New Roman" w:hAnsi="Times New Roman" w:cs="Times New Roman"/>
          <w:b/>
          <w:color w:val="auto"/>
          <w:sz w:val="28"/>
          <w:szCs w:val="28"/>
        </w:rPr>
        <w:t>3. CONCLUSIONES</w:t>
      </w:r>
      <w:bookmarkEnd w:id="5"/>
    </w:p>
    <w:p w:rsidR="00453D12" w:rsidRDefault="00453D12" w:rsidP="008005FA">
      <w:pPr>
        <w:jc w:val="both"/>
        <w:rPr>
          <w:rFonts w:eastAsia="SimSun"/>
          <w:lang w:eastAsia="es-ES"/>
        </w:rPr>
      </w:pPr>
    </w:p>
    <w:p w:rsidR="00CC2317" w:rsidRDefault="00CC2317" w:rsidP="00CC2317">
      <w:pPr>
        <w:jc w:val="both"/>
        <w:rPr>
          <w:sz w:val="22"/>
          <w:szCs w:val="22"/>
        </w:rPr>
      </w:pPr>
      <w:r>
        <w:rPr>
          <w:sz w:val="22"/>
          <w:szCs w:val="22"/>
        </w:rPr>
        <w:t>En el transcurso d</w:t>
      </w:r>
      <w:r w:rsidRPr="00F94538">
        <w:rPr>
          <w:sz w:val="22"/>
          <w:szCs w:val="22"/>
        </w:rPr>
        <w:t>el</w:t>
      </w:r>
      <w:r>
        <w:rPr>
          <w:sz w:val="22"/>
          <w:szCs w:val="22"/>
        </w:rPr>
        <w:t xml:space="preserve"> estudio de </w:t>
      </w:r>
      <w:r w:rsidR="00362013">
        <w:rPr>
          <w:sz w:val="22"/>
          <w:szCs w:val="22"/>
        </w:rPr>
        <w:t>actualización de la implementación de lo recomendado</w:t>
      </w:r>
      <w:r>
        <w:rPr>
          <w:sz w:val="22"/>
          <w:szCs w:val="22"/>
        </w:rPr>
        <w:t>,</w:t>
      </w:r>
      <w:r w:rsidRPr="00F94538">
        <w:rPr>
          <w:sz w:val="22"/>
          <w:szCs w:val="22"/>
        </w:rPr>
        <w:t xml:space="preserve"> se</w:t>
      </w:r>
      <w:r>
        <w:rPr>
          <w:sz w:val="22"/>
          <w:szCs w:val="22"/>
        </w:rPr>
        <w:t xml:space="preserve"> realizaron </w:t>
      </w:r>
      <w:r w:rsidR="008C5C33">
        <w:rPr>
          <w:sz w:val="22"/>
          <w:szCs w:val="22"/>
        </w:rPr>
        <w:t>solicitudes de documentos, de lo</w:t>
      </w:r>
      <w:r>
        <w:rPr>
          <w:sz w:val="22"/>
          <w:szCs w:val="22"/>
        </w:rPr>
        <w:t>s cuales se recibió información suficiente y competente por parte de los auditados, que permitió verificar de forma razonable la eficiente ejecución de</w:t>
      </w:r>
      <w:r w:rsidRPr="00F94538">
        <w:rPr>
          <w:sz w:val="22"/>
          <w:szCs w:val="22"/>
        </w:rPr>
        <w:t xml:space="preserve"> actividades </w:t>
      </w:r>
      <w:r>
        <w:rPr>
          <w:sz w:val="22"/>
          <w:szCs w:val="22"/>
        </w:rPr>
        <w:t xml:space="preserve">concretas realizadas para implementar y cumplir las </w:t>
      </w:r>
      <w:r w:rsidR="004042A2">
        <w:rPr>
          <w:sz w:val="22"/>
          <w:szCs w:val="22"/>
        </w:rPr>
        <w:t>3 recomendaciones emitidas en el</w:t>
      </w:r>
      <w:r>
        <w:rPr>
          <w:sz w:val="22"/>
          <w:szCs w:val="22"/>
        </w:rPr>
        <w:t xml:space="preserve"> </w:t>
      </w:r>
      <w:r w:rsidRPr="00FE6A29">
        <w:rPr>
          <w:i/>
          <w:sz w:val="22"/>
          <w:szCs w:val="22"/>
        </w:rPr>
        <w:t xml:space="preserve">Informe </w:t>
      </w:r>
      <w:r w:rsidR="004042A2" w:rsidRPr="00FE6A29">
        <w:rPr>
          <w:i/>
        </w:rPr>
        <w:t>18-10 Proceso de Formulación Presupuestaria</w:t>
      </w:r>
      <w:r w:rsidRPr="00FE6A29">
        <w:rPr>
          <w:sz w:val="22"/>
          <w:szCs w:val="22"/>
        </w:rPr>
        <w:t>,</w:t>
      </w:r>
      <w:r>
        <w:rPr>
          <w:sz w:val="22"/>
          <w:szCs w:val="22"/>
        </w:rPr>
        <w:t xml:space="preserve"> por lo tanto, el seguimiento se da por terminado y se procederá a cerrar el informe.</w:t>
      </w:r>
    </w:p>
    <w:p w:rsidR="00362013" w:rsidRDefault="00362013" w:rsidP="008005FA">
      <w:pPr>
        <w:pStyle w:val="Ttulo1"/>
        <w:spacing w:before="0"/>
        <w:rPr>
          <w:rFonts w:ascii="Times New Roman" w:hAnsi="Times New Roman" w:cs="Times New Roman"/>
          <w:b/>
          <w:color w:val="auto"/>
          <w:sz w:val="24"/>
          <w:szCs w:val="24"/>
        </w:rPr>
      </w:pPr>
    </w:p>
    <w:p w:rsidR="00453D12" w:rsidRPr="00AD0264" w:rsidRDefault="00453D12" w:rsidP="00AD0264">
      <w:pPr>
        <w:pStyle w:val="Ttulo1"/>
        <w:rPr>
          <w:rFonts w:ascii="Times New Roman" w:hAnsi="Times New Roman" w:cs="Times New Roman"/>
          <w:b/>
          <w:color w:val="auto"/>
          <w:sz w:val="28"/>
          <w:szCs w:val="28"/>
        </w:rPr>
      </w:pPr>
      <w:bookmarkStart w:id="6" w:name="_Toc531341157"/>
      <w:r w:rsidRPr="00AD0264">
        <w:rPr>
          <w:rFonts w:ascii="Times New Roman" w:hAnsi="Times New Roman" w:cs="Times New Roman"/>
          <w:b/>
          <w:color w:val="auto"/>
          <w:sz w:val="28"/>
          <w:szCs w:val="28"/>
        </w:rPr>
        <w:t>4. PUNTOS ESPECÍFICOS</w:t>
      </w:r>
      <w:bookmarkEnd w:id="6"/>
    </w:p>
    <w:p w:rsidR="00453D12" w:rsidRPr="008005FA" w:rsidRDefault="00453D12" w:rsidP="008005FA">
      <w:pPr>
        <w:jc w:val="both"/>
      </w:pPr>
    </w:p>
    <w:p w:rsidR="00362013" w:rsidRPr="006267CD" w:rsidRDefault="00453D12" w:rsidP="006267CD">
      <w:pPr>
        <w:pStyle w:val="Ttulo2"/>
        <w:spacing w:before="0" w:beforeAutospacing="0" w:after="0" w:afterAutospacing="0"/>
        <w:rPr>
          <w:sz w:val="24"/>
          <w:szCs w:val="24"/>
        </w:rPr>
      </w:pPr>
      <w:bookmarkStart w:id="7" w:name="_Toc531341158"/>
      <w:r w:rsidRPr="008005FA">
        <w:rPr>
          <w:sz w:val="24"/>
          <w:szCs w:val="24"/>
        </w:rPr>
        <w:t>4.1 Orige</w:t>
      </w:r>
      <w:r w:rsidR="006A0360">
        <w:rPr>
          <w:sz w:val="24"/>
          <w:szCs w:val="24"/>
        </w:rPr>
        <w:t>n</w:t>
      </w:r>
      <w:bookmarkEnd w:id="7"/>
    </w:p>
    <w:p w:rsidR="00453D12" w:rsidRPr="008005FA" w:rsidRDefault="00453D12" w:rsidP="008005FA">
      <w:pPr>
        <w:jc w:val="both"/>
      </w:pPr>
      <w:r w:rsidRPr="00CC2317">
        <w:t>El presente estudio tiene su origen en el Plan de Trabajo de la Dirección de Aud</w:t>
      </w:r>
      <w:r w:rsidR="00CD444B" w:rsidRPr="00CC2317">
        <w:t>itoría Interna</w:t>
      </w:r>
      <w:r w:rsidRPr="00CC2317">
        <w:t>. L</w:t>
      </w:r>
      <w:r w:rsidR="00CD444B" w:rsidRPr="00CC2317">
        <w:t xml:space="preserve">a potestad para su realización </w:t>
      </w:r>
      <w:r w:rsidRPr="00CC2317">
        <w:t>y solicitar la posterior impleme</w:t>
      </w:r>
      <w:r w:rsidR="00CD444B" w:rsidRPr="00CC2317">
        <w:t xml:space="preserve">ntación de sus recomendaciones </w:t>
      </w:r>
      <w:r w:rsidRPr="00CC2317">
        <w:t>emana del artículo 22 de la Ley General de Control Interno, en el que se confiere a las Auditorías Internas la atribución de realizar evaluaciones de procesos y recursos sujetos a su competencia institucional.</w:t>
      </w:r>
    </w:p>
    <w:p w:rsidR="00362013" w:rsidRPr="008005FA" w:rsidRDefault="00362013" w:rsidP="008005FA">
      <w:pPr>
        <w:jc w:val="both"/>
        <w:rPr>
          <w:b/>
        </w:rPr>
      </w:pPr>
    </w:p>
    <w:p w:rsidR="00362013" w:rsidRPr="003B7C2A" w:rsidRDefault="00453D12" w:rsidP="003B7C2A">
      <w:pPr>
        <w:pStyle w:val="Ttulo2"/>
        <w:spacing w:before="0" w:beforeAutospacing="0" w:after="0" w:afterAutospacing="0"/>
        <w:rPr>
          <w:sz w:val="24"/>
          <w:szCs w:val="24"/>
        </w:rPr>
      </w:pPr>
      <w:bookmarkStart w:id="8" w:name="_Toc531341159"/>
      <w:r w:rsidRPr="008005FA">
        <w:rPr>
          <w:sz w:val="24"/>
          <w:szCs w:val="24"/>
        </w:rPr>
        <w:t>4.2 Normativa Aplicable</w:t>
      </w:r>
      <w:bookmarkEnd w:id="8"/>
      <w:r w:rsidRPr="008005FA">
        <w:rPr>
          <w:sz w:val="24"/>
          <w:szCs w:val="24"/>
        </w:rPr>
        <w:t xml:space="preserve"> </w:t>
      </w:r>
    </w:p>
    <w:p w:rsidR="00453D12" w:rsidRPr="008005FA" w:rsidRDefault="00453D12" w:rsidP="008005FA">
      <w:pPr>
        <w:jc w:val="both"/>
      </w:pPr>
      <w:r w:rsidRPr="008005FA">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CD444B" w:rsidRDefault="00CD444B" w:rsidP="008005FA">
      <w:pPr>
        <w:autoSpaceDE w:val="0"/>
        <w:autoSpaceDN w:val="0"/>
        <w:adjustRightInd w:val="0"/>
        <w:jc w:val="both"/>
      </w:pPr>
    </w:p>
    <w:p w:rsidR="00362013" w:rsidRPr="00CC2317" w:rsidRDefault="00362013" w:rsidP="008005FA">
      <w:pPr>
        <w:autoSpaceDE w:val="0"/>
        <w:autoSpaceDN w:val="0"/>
        <w:adjustRightInd w:val="0"/>
        <w:jc w:val="both"/>
      </w:pPr>
    </w:p>
    <w:p w:rsidR="00453D12" w:rsidRPr="00AD0264" w:rsidRDefault="00453D12" w:rsidP="00AD0264">
      <w:pPr>
        <w:pStyle w:val="Ttulo1"/>
        <w:rPr>
          <w:rFonts w:ascii="Times New Roman" w:hAnsi="Times New Roman" w:cs="Times New Roman"/>
          <w:b/>
          <w:color w:val="auto"/>
          <w:sz w:val="28"/>
          <w:szCs w:val="28"/>
        </w:rPr>
      </w:pPr>
      <w:bookmarkStart w:id="9" w:name="_Toc531341160"/>
      <w:r w:rsidRPr="00AD0264">
        <w:rPr>
          <w:rFonts w:ascii="Times New Roman" w:hAnsi="Times New Roman" w:cs="Times New Roman"/>
          <w:b/>
          <w:color w:val="auto"/>
          <w:sz w:val="28"/>
          <w:szCs w:val="28"/>
        </w:rPr>
        <w:lastRenderedPageBreak/>
        <w:t>5. NOMBRES Y FIRMAS</w:t>
      </w:r>
      <w:bookmarkEnd w:id="9"/>
    </w:p>
    <w:p w:rsidR="00362013" w:rsidRPr="00D508C0" w:rsidRDefault="00362013" w:rsidP="00D508C0">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414"/>
        <w:gridCol w:w="4414"/>
      </w:tblGrid>
      <w:tr w:rsidR="00CC2317" w:rsidRPr="00D13AED" w:rsidTr="00565583">
        <w:trPr>
          <w:trHeight w:val="1499"/>
        </w:trPr>
        <w:tc>
          <w:tcPr>
            <w:tcW w:w="4414" w:type="dxa"/>
          </w:tcPr>
          <w:p w:rsidR="00CC2317" w:rsidRDefault="00CC2317" w:rsidP="008561F6">
            <w:pPr>
              <w:jc w:val="center"/>
              <w:rPr>
                <w:lang w:eastAsia="es-ES"/>
              </w:rPr>
            </w:pPr>
          </w:p>
          <w:p w:rsidR="00362013" w:rsidRDefault="00362013" w:rsidP="008561F6">
            <w:pPr>
              <w:jc w:val="center"/>
              <w:rPr>
                <w:lang w:eastAsia="es-ES"/>
              </w:rPr>
            </w:pPr>
          </w:p>
          <w:p w:rsidR="00362013" w:rsidRPr="00D13AED" w:rsidRDefault="00362013" w:rsidP="008561F6">
            <w:pPr>
              <w:jc w:val="center"/>
              <w:rPr>
                <w:lang w:eastAsia="es-ES"/>
              </w:rPr>
            </w:pPr>
          </w:p>
          <w:p w:rsidR="00CC2317" w:rsidRPr="00D13AED" w:rsidRDefault="00CC2317" w:rsidP="008561F6">
            <w:pPr>
              <w:jc w:val="center"/>
              <w:rPr>
                <w:lang w:eastAsia="es-ES"/>
              </w:rPr>
            </w:pPr>
          </w:p>
          <w:p w:rsidR="00CC2317" w:rsidRPr="00D13AED" w:rsidRDefault="00CC2317" w:rsidP="008561F6">
            <w:pPr>
              <w:rPr>
                <w:lang w:eastAsia="es-ES"/>
              </w:rPr>
            </w:pPr>
            <w:r w:rsidRPr="00D13AED">
              <w:rPr>
                <w:lang w:eastAsia="es-ES"/>
              </w:rPr>
              <w:t>___________________________</w:t>
            </w:r>
          </w:p>
          <w:p w:rsidR="00CC2317" w:rsidRPr="00D13AED" w:rsidRDefault="00CC2317" w:rsidP="008561F6">
            <w:pPr>
              <w:rPr>
                <w:lang w:eastAsia="es-ES"/>
              </w:rPr>
            </w:pPr>
            <w:r w:rsidRPr="00D13AED">
              <w:rPr>
                <w:lang w:eastAsia="es-ES"/>
              </w:rPr>
              <w:t>Licda. Katerin Hidalgo Leitón</w:t>
            </w:r>
          </w:p>
          <w:p w:rsidR="00CC2317" w:rsidRPr="00D13AED" w:rsidRDefault="00CC2317" w:rsidP="008561F6">
            <w:pPr>
              <w:rPr>
                <w:lang w:eastAsia="es-ES"/>
              </w:rPr>
            </w:pPr>
            <w:r w:rsidRPr="00D13AED">
              <w:rPr>
                <w:lang w:eastAsia="es-ES"/>
              </w:rPr>
              <w:t>Auditora Encargada</w:t>
            </w:r>
          </w:p>
        </w:tc>
        <w:tc>
          <w:tcPr>
            <w:tcW w:w="4414" w:type="dxa"/>
          </w:tcPr>
          <w:p w:rsidR="00CC2317" w:rsidRPr="00D13AED" w:rsidRDefault="00CC2317" w:rsidP="008561F6">
            <w:pPr>
              <w:jc w:val="center"/>
              <w:rPr>
                <w:lang w:eastAsia="es-ES"/>
              </w:rPr>
            </w:pPr>
          </w:p>
          <w:p w:rsidR="00CC2317" w:rsidRDefault="00CC2317" w:rsidP="008561F6">
            <w:pPr>
              <w:jc w:val="center"/>
              <w:rPr>
                <w:lang w:eastAsia="es-ES"/>
              </w:rPr>
            </w:pPr>
          </w:p>
          <w:p w:rsidR="00362013" w:rsidRDefault="00362013" w:rsidP="008561F6">
            <w:pPr>
              <w:jc w:val="center"/>
              <w:rPr>
                <w:lang w:eastAsia="es-ES"/>
              </w:rPr>
            </w:pPr>
          </w:p>
          <w:p w:rsidR="00362013" w:rsidRPr="00D13AED" w:rsidRDefault="00362013" w:rsidP="008561F6">
            <w:pPr>
              <w:jc w:val="center"/>
              <w:rPr>
                <w:lang w:eastAsia="es-ES"/>
              </w:rPr>
            </w:pPr>
          </w:p>
          <w:p w:rsidR="00CC2317" w:rsidRPr="00D13AED" w:rsidRDefault="00CC2317" w:rsidP="00FC25EB">
            <w:pPr>
              <w:rPr>
                <w:lang w:eastAsia="es-ES"/>
              </w:rPr>
            </w:pPr>
            <w:r w:rsidRPr="00D13AED">
              <w:rPr>
                <w:lang w:eastAsia="es-ES"/>
              </w:rPr>
              <w:t>_________________________</w:t>
            </w:r>
          </w:p>
          <w:p w:rsidR="00CC2317" w:rsidRPr="00D13AED" w:rsidRDefault="00AA482E" w:rsidP="008561F6">
            <w:pPr>
              <w:rPr>
                <w:lang w:eastAsia="es-ES"/>
              </w:rPr>
            </w:pPr>
            <w:r>
              <w:rPr>
                <w:lang w:eastAsia="es-ES"/>
              </w:rPr>
              <w:t xml:space="preserve"> </w:t>
            </w:r>
            <w:r w:rsidR="00CC2317" w:rsidRPr="00D13AED">
              <w:rPr>
                <w:lang w:eastAsia="es-ES"/>
              </w:rPr>
              <w:t>Lic. Eric Rivas Ellis</w:t>
            </w:r>
          </w:p>
          <w:p w:rsidR="00CC2317" w:rsidRPr="00D13AED" w:rsidRDefault="00AA482E" w:rsidP="008561F6">
            <w:pPr>
              <w:rPr>
                <w:lang w:eastAsia="es-ES"/>
              </w:rPr>
            </w:pPr>
            <w:r>
              <w:rPr>
                <w:lang w:eastAsia="es-ES"/>
              </w:rPr>
              <w:t xml:space="preserve"> </w:t>
            </w:r>
            <w:r w:rsidR="00CC2317" w:rsidRPr="00D13AED">
              <w:rPr>
                <w:lang w:eastAsia="es-ES"/>
              </w:rPr>
              <w:t>Auditor Supervisor</w:t>
            </w:r>
          </w:p>
        </w:tc>
      </w:tr>
      <w:tr w:rsidR="00CC2317" w:rsidRPr="00D13AED" w:rsidTr="00565583">
        <w:trPr>
          <w:trHeight w:val="1393"/>
        </w:trPr>
        <w:tc>
          <w:tcPr>
            <w:tcW w:w="4414" w:type="dxa"/>
          </w:tcPr>
          <w:p w:rsidR="00CC2317" w:rsidRPr="00D13AED" w:rsidRDefault="00CC2317" w:rsidP="008561F6">
            <w:pPr>
              <w:jc w:val="center"/>
              <w:rPr>
                <w:lang w:eastAsia="es-ES"/>
              </w:rPr>
            </w:pPr>
          </w:p>
          <w:p w:rsidR="00CC2317" w:rsidRDefault="00CC2317" w:rsidP="008561F6">
            <w:pPr>
              <w:jc w:val="center"/>
              <w:rPr>
                <w:lang w:eastAsia="es-ES"/>
              </w:rPr>
            </w:pPr>
          </w:p>
          <w:p w:rsidR="008145DA" w:rsidRDefault="008145DA" w:rsidP="008561F6">
            <w:pPr>
              <w:jc w:val="center"/>
              <w:rPr>
                <w:lang w:eastAsia="es-ES"/>
              </w:rPr>
            </w:pPr>
          </w:p>
          <w:p w:rsidR="00362013" w:rsidRDefault="00362013" w:rsidP="008561F6">
            <w:pPr>
              <w:jc w:val="center"/>
              <w:rPr>
                <w:lang w:eastAsia="es-ES"/>
              </w:rPr>
            </w:pPr>
          </w:p>
          <w:p w:rsidR="00362013" w:rsidRPr="00D13AED" w:rsidRDefault="00362013" w:rsidP="008561F6">
            <w:pPr>
              <w:jc w:val="center"/>
              <w:rPr>
                <w:lang w:eastAsia="es-ES"/>
              </w:rPr>
            </w:pPr>
          </w:p>
          <w:p w:rsidR="00CC2317" w:rsidRPr="00D13AED" w:rsidRDefault="00CC2317" w:rsidP="008561F6">
            <w:pPr>
              <w:rPr>
                <w:lang w:eastAsia="es-ES"/>
              </w:rPr>
            </w:pPr>
            <w:r w:rsidRPr="00D13AED">
              <w:rPr>
                <w:lang w:eastAsia="es-ES"/>
              </w:rPr>
              <w:t>____________________________</w:t>
            </w:r>
          </w:p>
          <w:p w:rsidR="00CC2317" w:rsidRPr="00D13AED" w:rsidRDefault="00CC2317" w:rsidP="008561F6">
            <w:pPr>
              <w:rPr>
                <w:lang w:eastAsia="es-ES"/>
              </w:rPr>
            </w:pPr>
            <w:r w:rsidRPr="00D13AED">
              <w:rPr>
                <w:lang w:eastAsia="es-ES"/>
              </w:rPr>
              <w:t xml:space="preserve">Licda. Alba Camacho De la O </w:t>
            </w:r>
          </w:p>
          <w:p w:rsidR="00CC2317" w:rsidRPr="00D13AED" w:rsidRDefault="00CC2317" w:rsidP="008561F6">
            <w:pPr>
              <w:rPr>
                <w:lang w:eastAsia="es-ES"/>
              </w:rPr>
            </w:pPr>
            <w:r w:rsidRPr="00D13AED">
              <w:rPr>
                <w:lang w:eastAsia="es-ES"/>
              </w:rPr>
              <w:t xml:space="preserve">Jefe Departamento </w:t>
            </w:r>
          </w:p>
        </w:tc>
        <w:tc>
          <w:tcPr>
            <w:tcW w:w="4414" w:type="dxa"/>
          </w:tcPr>
          <w:p w:rsidR="00CC2317" w:rsidRPr="00D13AED" w:rsidRDefault="00CC2317" w:rsidP="008561F6">
            <w:pPr>
              <w:jc w:val="center"/>
              <w:rPr>
                <w:lang w:eastAsia="es-ES"/>
              </w:rPr>
            </w:pPr>
          </w:p>
          <w:p w:rsidR="00CC2317" w:rsidRDefault="00CC2317" w:rsidP="008561F6">
            <w:pPr>
              <w:jc w:val="center"/>
              <w:rPr>
                <w:lang w:eastAsia="es-ES"/>
              </w:rPr>
            </w:pPr>
          </w:p>
          <w:p w:rsidR="00362013" w:rsidRDefault="00362013" w:rsidP="008561F6">
            <w:pPr>
              <w:jc w:val="center"/>
              <w:rPr>
                <w:lang w:eastAsia="es-ES"/>
              </w:rPr>
            </w:pPr>
          </w:p>
          <w:p w:rsidR="00362013" w:rsidRDefault="00362013" w:rsidP="008561F6">
            <w:pPr>
              <w:jc w:val="center"/>
              <w:rPr>
                <w:lang w:eastAsia="es-ES"/>
              </w:rPr>
            </w:pPr>
          </w:p>
          <w:p w:rsidR="008145DA" w:rsidRPr="00D13AED" w:rsidRDefault="008145DA" w:rsidP="008561F6">
            <w:pPr>
              <w:jc w:val="center"/>
              <w:rPr>
                <w:lang w:eastAsia="es-ES"/>
              </w:rPr>
            </w:pPr>
          </w:p>
          <w:p w:rsidR="00CC2317" w:rsidRPr="00D13AED" w:rsidRDefault="00CC2317" w:rsidP="008561F6">
            <w:pPr>
              <w:jc w:val="center"/>
              <w:rPr>
                <w:lang w:eastAsia="es-ES"/>
              </w:rPr>
            </w:pPr>
            <w:r w:rsidRPr="00D13AED">
              <w:rPr>
                <w:lang w:eastAsia="es-ES"/>
              </w:rPr>
              <w:t>____________________________</w:t>
            </w:r>
          </w:p>
          <w:p w:rsidR="00CC2317" w:rsidRPr="00D13AED" w:rsidRDefault="00AA482E" w:rsidP="008561F6">
            <w:pPr>
              <w:rPr>
                <w:lang w:eastAsia="es-ES"/>
              </w:rPr>
            </w:pPr>
            <w:r>
              <w:rPr>
                <w:lang w:eastAsia="es-ES"/>
              </w:rPr>
              <w:t xml:space="preserve"> </w:t>
            </w:r>
            <w:r w:rsidR="00CC2317" w:rsidRPr="00D13AED">
              <w:rPr>
                <w:lang w:eastAsia="es-ES"/>
              </w:rPr>
              <w:t>MBA. Sarita Pérez Umaña</w:t>
            </w:r>
          </w:p>
          <w:p w:rsidR="00CC2317" w:rsidRPr="00D13AED" w:rsidRDefault="00AA482E" w:rsidP="00962A26">
            <w:pPr>
              <w:rPr>
                <w:lang w:eastAsia="es-ES"/>
              </w:rPr>
            </w:pPr>
            <w:r>
              <w:rPr>
                <w:lang w:eastAsia="es-ES"/>
              </w:rPr>
              <w:t xml:space="preserve"> </w:t>
            </w:r>
            <w:r w:rsidR="00962A26">
              <w:rPr>
                <w:lang w:eastAsia="es-ES"/>
              </w:rPr>
              <w:t>S</w:t>
            </w:r>
            <w:r w:rsidR="00962A26" w:rsidRPr="00D13AED">
              <w:rPr>
                <w:lang w:eastAsia="es-ES"/>
              </w:rPr>
              <w:t xml:space="preserve">ubauditora </w:t>
            </w:r>
            <w:r w:rsidR="00962A26">
              <w:rPr>
                <w:lang w:eastAsia="es-ES"/>
              </w:rPr>
              <w:t>I</w:t>
            </w:r>
            <w:r w:rsidR="00962A26" w:rsidRPr="00D13AED">
              <w:rPr>
                <w:lang w:eastAsia="es-ES"/>
              </w:rPr>
              <w:t>nterna</w:t>
            </w:r>
            <w:r w:rsidR="00962A26">
              <w:rPr>
                <w:lang w:eastAsia="es-ES"/>
              </w:rPr>
              <w:t xml:space="preserve"> a.i.</w:t>
            </w:r>
          </w:p>
        </w:tc>
      </w:tr>
      <w:tr w:rsidR="00CC2317" w:rsidRPr="00D13AED" w:rsidTr="00565583">
        <w:tc>
          <w:tcPr>
            <w:tcW w:w="8828" w:type="dxa"/>
            <w:gridSpan w:val="2"/>
          </w:tcPr>
          <w:p w:rsidR="00CC2317" w:rsidRPr="00D13AED" w:rsidRDefault="00CC2317" w:rsidP="008561F6">
            <w:pPr>
              <w:jc w:val="center"/>
              <w:rPr>
                <w:lang w:eastAsia="es-ES"/>
              </w:rPr>
            </w:pPr>
          </w:p>
          <w:p w:rsidR="00CC2317" w:rsidRDefault="00CC2317" w:rsidP="008561F6">
            <w:pPr>
              <w:jc w:val="center"/>
              <w:rPr>
                <w:lang w:eastAsia="es-ES"/>
              </w:rPr>
            </w:pPr>
          </w:p>
          <w:p w:rsidR="008145DA" w:rsidRDefault="008145DA" w:rsidP="008561F6">
            <w:pPr>
              <w:jc w:val="center"/>
              <w:rPr>
                <w:lang w:eastAsia="es-ES"/>
              </w:rPr>
            </w:pPr>
          </w:p>
          <w:p w:rsidR="00362013" w:rsidRDefault="00362013" w:rsidP="008561F6">
            <w:pPr>
              <w:jc w:val="center"/>
              <w:rPr>
                <w:lang w:eastAsia="es-ES"/>
              </w:rPr>
            </w:pPr>
          </w:p>
          <w:p w:rsidR="00362013" w:rsidRDefault="00362013" w:rsidP="008561F6">
            <w:pPr>
              <w:jc w:val="center"/>
              <w:rPr>
                <w:lang w:eastAsia="es-ES"/>
              </w:rPr>
            </w:pPr>
          </w:p>
          <w:p w:rsidR="00362013" w:rsidRPr="00D13AED" w:rsidRDefault="00362013" w:rsidP="008561F6">
            <w:pPr>
              <w:jc w:val="center"/>
              <w:rPr>
                <w:lang w:eastAsia="es-ES"/>
              </w:rPr>
            </w:pPr>
          </w:p>
          <w:p w:rsidR="00CC2317" w:rsidRPr="00D13AED" w:rsidRDefault="00CC2317" w:rsidP="008561F6">
            <w:pPr>
              <w:jc w:val="center"/>
              <w:rPr>
                <w:lang w:eastAsia="es-ES"/>
              </w:rPr>
            </w:pPr>
            <w:r w:rsidRPr="00D13AED">
              <w:rPr>
                <w:lang w:eastAsia="es-ES"/>
              </w:rPr>
              <w:t>__________________________</w:t>
            </w:r>
          </w:p>
          <w:p w:rsidR="00CC2317" w:rsidRPr="00D13AED" w:rsidRDefault="00CC2317" w:rsidP="008561F6">
            <w:pPr>
              <w:jc w:val="center"/>
              <w:rPr>
                <w:lang w:eastAsia="es-ES"/>
              </w:rPr>
            </w:pPr>
            <w:r w:rsidRPr="00D13AED">
              <w:rPr>
                <w:lang w:eastAsia="es-ES"/>
              </w:rPr>
              <w:t>MBA. Edier Navarro Esquivel</w:t>
            </w:r>
          </w:p>
          <w:p w:rsidR="00CC2317" w:rsidRPr="00D13AED" w:rsidRDefault="00962A26" w:rsidP="008561F6">
            <w:pPr>
              <w:jc w:val="center"/>
              <w:rPr>
                <w:lang w:eastAsia="es-ES"/>
              </w:rPr>
            </w:pPr>
            <w:r>
              <w:rPr>
                <w:lang w:eastAsia="es-ES"/>
              </w:rPr>
              <w:t>A</w:t>
            </w:r>
            <w:r w:rsidRPr="00D13AED">
              <w:rPr>
                <w:lang w:eastAsia="es-ES"/>
              </w:rPr>
              <w:t xml:space="preserve">uditor </w:t>
            </w:r>
            <w:r>
              <w:rPr>
                <w:lang w:eastAsia="es-ES"/>
              </w:rPr>
              <w:t>I</w:t>
            </w:r>
            <w:r w:rsidRPr="00D13AED">
              <w:rPr>
                <w:lang w:eastAsia="es-ES"/>
              </w:rPr>
              <w:t>nterno</w:t>
            </w:r>
          </w:p>
          <w:p w:rsidR="00CC2317" w:rsidRPr="00D13AED" w:rsidRDefault="00CC2317" w:rsidP="008561F6">
            <w:pPr>
              <w:rPr>
                <w:lang w:eastAsia="es-ES"/>
              </w:rPr>
            </w:pPr>
          </w:p>
        </w:tc>
      </w:tr>
    </w:tbl>
    <w:p w:rsidR="003B7C2A" w:rsidRDefault="003B7C2A" w:rsidP="006267CD">
      <w:pPr>
        <w:pStyle w:val="Sinespaciado"/>
        <w:jc w:val="right"/>
        <w:rPr>
          <w:b/>
          <w:sz w:val="22"/>
          <w:szCs w:val="22"/>
          <w:lang w:val="es-CR" w:eastAsia="es-ES"/>
        </w:rPr>
      </w:pPr>
    </w:p>
    <w:p w:rsidR="003B7C2A" w:rsidRDefault="003B7C2A" w:rsidP="006267CD">
      <w:pPr>
        <w:pStyle w:val="Sinespaciado"/>
        <w:jc w:val="right"/>
        <w:rPr>
          <w:b/>
          <w:sz w:val="22"/>
          <w:szCs w:val="22"/>
          <w:lang w:val="es-CR" w:eastAsia="es-ES"/>
        </w:rPr>
      </w:pPr>
    </w:p>
    <w:p w:rsidR="003B7C2A" w:rsidRDefault="003B7C2A" w:rsidP="006267CD">
      <w:pPr>
        <w:pStyle w:val="Sinespaciado"/>
        <w:jc w:val="right"/>
        <w:rPr>
          <w:b/>
          <w:sz w:val="22"/>
          <w:szCs w:val="22"/>
          <w:lang w:val="es-CR" w:eastAsia="es-ES"/>
        </w:rPr>
      </w:pPr>
    </w:p>
    <w:p w:rsidR="00802328" w:rsidRPr="00D508C0" w:rsidRDefault="00CC2317" w:rsidP="006267CD">
      <w:pPr>
        <w:pStyle w:val="Sinespaciado"/>
        <w:jc w:val="right"/>
        <w:rPr>
          <w:lang w:val="es-CR" w:eastAsia="es-ES"/>
        </w:rPr>
      </w:pPr>
      <w:r w:rsidRPr="009D0D33">
        <w:rPr>
          <w:b/>
          <w:sz w:val="22"/>
          <w:szCs w:val="22"/>
          <w:lang w:val="es-CR" w:eastAsia="es-ES"/>
        </w:rPr>
        <w:t>Est</w:t>
      </w:r>
      <w:bookmarkStart w:id="10" w:name="_GoBack"/>
      <w:bookmarkEnd w:id="10"/>
      <w:r w:rsidRPr="009D0D33">
        <w:rPr>
          <w:b/>
          <w:sz w:val="22"/>
          <w:szCs w:val="22"/>
          <w:lang w:val="es-CR" w:eastAsia="es-ES"/>
        </w:rPr>
        <w:t xml:space="preserve">udio N° </w:t>
      </w:r>
      <w:r>
        <w:rPr>
          <w:b/>
          <w:sz w:val="22"/>
          <w:szCs w:val="22"/>
          <w:lang w:val="es-CR" w:eastAsia="es-ES"/>
        </w:rPr>
        <w:t>33</w:t>
      </w:r>
      <w:r w:rsidRPr="009D0D33">
        <w:rPr>
          <w:b/>
          <w:sz w:val="22"/>
          <w:szCs w:val="22"/>
          <w:lang w:val="es-CR" w:eastAsia="es-ES"/>
        </w:rPr>
        <w:t>-1</w:t>
      </w:r>
      <w:r>
        <w:rPr>
          <w:b/>
          <w:sz w:val="22"/>
          <w:szCs w:val="22"/>
          <w:lang w:val="es-CR" w:eastAsia="es-ES"/>
        </w:rPr>
        <w:t>7</w:t>
      </w:r>
    </w:p>
    <w:sectPr w:rsidR="00802328" w:rsidRPr="00D508C0"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6F" w:rsidRDefault="00660A6F" w:rsidP="006E3FF9">
      <w:r>
        <w:separator/>
      </w:r>
    </w:p>
  </w:endnote>
  <w:endnote w:type="continuationSeparator" w:id="0">
    <w:p w:rsidR="00660A6F" w:rsidRDefault="00660A6F"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1852EA">
      <w:rPr>
        <w:b/>
        <w:bCs/>
        <w:noProof/>
        <w:lang w:eastAsia="es-ES"/>
      </w:rPr>
      <w:t>6</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1852EA">
      <w:rPr>
        <w:b/>
        <w:bCs/>
        <w:noProof/>
        <w:lang w:eastAsia="es-ES"/>
      </w:rPr>
      <w:t>6</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6F" w:rsidRDefault="00660A6F" w:rsidP="006E3FF9">
      <w:r>
        <w:separator/>
      </w:r>
    </w:p>
  </w:footnote>
  <w:footnote w:type="continuationSeparator" w:id="0">
    <w:p w:rsidR="00660A6F" w:rsidRDefault="00660A6F"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230" w:rsidRDefault="007E32B1" w:rsidP="00913ADE">
    <w:pPr>
      <w:pBdr>
        <w:bottom w:val="single" w:sz="4" w:space="1" w:color="auto"/>
      </w:pBdr>
      <w:tabs>
        <w:tab w:val="left" w:pos="7371"/>
      </w:tabs>
      <w:jc w:val="both"/>
      <w:rPr>
        <w:b/>
        <w:bCs/>
        <w:lang w:eastAsia="es-ES"/>
      </w:rPr>
    </w:pPr>
    <w:r w:rsidRPr="00AD0264">
      <w:rPr>
        <w:b/>
        <w:bCs/>
        <w:lang w:eastAsia="es-ES"/>
      </w:rPr>
      <w:t xml:space="preserve">INFORME </w:t>
    </w:r>
    <w:r w:rsidR="00962A26">
      <w:rPr>
        <w:b/>
        <w:bCs/>
        <w:lang w:eastAsia="es-ES"/>
      </w:rPr>
      <w:t>74</w:t>
    </w:r>
    <w:r w:rsidRPr="00AD0264">
      <w:rPr>
        <w:b/>
        <w:bCs/>
        <w:lang w:eastAsia="es-ES"/>
      </w:rPr>
      <w:t xml:space="preserve">-18 </w:t>
    </w:r>
    <w:r w:rsidR="001735B8" w:rsidRPr="00AD0264">
      <w:rPr>
        <w:b/>
        <w:bCs/>
        <w:lang w:eastAsia="es-ES"/>
      </w:rPr>
      <w:t>SEG</w:t>
    </w:r>
    <w:r w:rsidR="00AD0264" w:rsidRPr="00AD0264">
      <w:rPr>
        <w:b/>
        <w:bCs/>
        <w:lang w:eastAsia="es-ES"/>
      </w:rPr>
      <w:t xml:space="preserve">. </w:t>
    </w:r>
    <w:r w:rsidR="001735B8" w:rsidRPr="00AD0264">
      <w:rPr>
        <w:b/>
        <w:bCs/>
        <w:lang w:eastAsia="es-ES"/>
      </w:rPr>
      <w:t>INF</w:t>
    </w:r>
    <w:r w:rsidR="00AD0264" w:rsidRPr="00AD0264">
      <w:rPr>
        <w:b/>
        <w:bCs/>
        <w:lang w:eastAsia="es-ES"/>
      </w:rPr>
      <w:t xml:space="preserve">. </w:t>
    </w:r>
    <w:r w:rsidR="00C50211" w:rsidRPr="00AD0264">
      <w:rPr>
        <w:b/>
        <w:bCs/>
        <w:lang w:eastAsia="es-ES"/>
      </w:rPr>
      <w:t>18-10 PROCESO DE FORMULACIÓN</w:t>
    </w:r>
  </w:p>
  <w:p w:rsidR="00AD0264" w:rsidRPr="006A0230" w:rsidRDefault="00AD0264" w:rsidP="00913ADE">
    <w:pPr>
      <w:pBdr>
        <w:bottom w:val="single" w:sz="4" w:space="1" w:color="auto"/>
      </w:pBdr>
      <w:tabs>
        <w:tab w:val="left" w:pos="7371"/>
      </w:tabs>
      <w:jc w:val="both"/>
      <w:rPr>
        <w:b/>
        <w:bCs/>
        <w:lang w:eastAsia="es-ES"/>
      </w:rPr>
    </w:pPr>
    <w:r w:rsidRPr="00AD0264">
      <w:rPr>
        <w:b/>
        <w:bCs/>
        <w:lang w:eastAsia="es-ES"/>
      </w:rPr>
      <w:t>P</w:t>
    </w:r>
    <w:r w:rsidR="00C50211" w:rsidRPr="00AD0264">
      <w:rPr>
        <w:b/>
        <w:bCs/>
        <w:lang w:eastAsia="es-ES"/>
      </w:rPr>
      <w:t>RESUPUESTARIA</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BC3F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2567940</wp:posOffset>
              </wp:positionH>
              <wp:positionV relativeFrom="paragraph">
                <wp:posOffset>207009</wp:posOffset>
              </wp:positionV>
              <wp:extent cx="3390900" cy="7143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962A26" w:rsidRDefault="003A0E55" w:rsidP="003714BF">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62A26">
                            <w:rPr>
                              <w:rFonts w:ascii="Times New Roman" w:hAnsi="Times New Roman"/>
                              <w:b/>
                              <w:szCs w:val="24"/>
                              <w:lang w:val="es-ES" w:eastAsia="es-ES"/>
                            </w:rPr>
                            <w:t xml:space="preserve">INFORME </w:t>
                          </w:r>
                          <w:r w:rsidR="00962A26" w:rsidRPr="00962A26">
                            <w:rPr>
                              <w:rFonts w:ascii="Times New Roman" w:hAnsi="Times New Roman"/>
                              <w:b/>
                              <w:szCs w:val="24"/>
                              <w:lang w:val="es-ES" w:eastAsia="es-ES"/>
                            </w:rPr>
                            <w:t>74</w:t>
                          </w:r>
                          <w:r w:rsidRPr="00962A26">
                            <w:rPr>
                              <w:rFonts w:ascii="Times New Roman" w:hAnsi="Times New Roman"/>
                              <w:b/>
                              <w:szCs w:val="24"/>
                              <w:lang w:val="es-ES" w:eastAsia="es-ES"/>
                            </w:rPr>
                            <w:t>-18</w:t>
                          </w:r>
                        </w:p>
                        <w:p w:rsidR="003A0E55" w:rsidRPr="00962A26" w:rsidRDefault="003714BF" w:rsidP="003714BF">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62A26">
                            <w:rPr>
                              <w:rFonts w:ascii="Times New Roman" w:hAnsi="Times New Roman"/>
                              <w:b/>
                              <w:szCs w:val="24"/>
                              <w:lang w:val="es-ES" w:eastAsia="es-ES"/>
                            </w:rPr>
                            <w:t>SEG.</w:t>
                          </w:r>
                          <w:r w:rsidR="008D6F1F" w:rsidRPr="00962A26">
                            <w:rPr>
                              <w:rFonts w:ascii="Times New Roman" w:hAnsi="Times New Roman"/>
                              <w:b/>
                              <w:szCs w:val="24"/>
                              <w:lang w:val="es-ES" w:eastAsia="es-ES"/>
                            </w:rPr>
                            <w:t xml:space="preserve"> INF</w:t>
                          </w:r>
                          <w:r w:rsidRPr="00962A26">
                            <w:rPr>
                              <w:rFonts w:ascii="Times New Roman" w:hAnsi="Times New Roman"/>
                              <w:b/>
                              <w:szCs w:val="24"/>
                              <w:lang w:val="es-ES" w:eastAsia="es-ES"/>
                            </w:rPr>
                            <w:t>.</w:t>
                          </w:r>
                          <w:r w:rsidR="008D6F1F" w:rsidRPr="00962A26">
                            <w:rPr>
                              <w:rFonts w:ascii="Times New Roman" w:hAnsi="Times New Roman"/>
                              <w:b/>
                              <w:szCs w:val="24"/>
                              <w:lang w:val="es-ES" w:eastAsia="es-ES"/>
                            </w:rPr>
                            <w:t xml:space="preserve"> </w:t>
                          </w:r>
                          <w:r w:rsidR="00BC3FD7" w:rsidRPr="00962A26">
                            <w:rPr>
                              <w:rFonts w:ascii="Times New Roman" w:hAnsi="Times New Roman"/>
                              <w:b/>
                              <w:szCs w:val="24"/>
                              <w:lang w:val="es-ES" w:eastAsia="es-ES"/>
                            </w:rPr>
                            <w:t>18-10</w:t>
                          </w:r>
                          <w:r w:rsidR="00AA482E" w:rsidRPr="00962A26">
                            <w:rPr>
                              <w:rFonts w:ascii="Times New Roman" w:hAnsi="Times New Roman"/>
                              <w:b/>
                              <w:szCs w:val="24"/>
                              <w:lang w:val="es-ES" w:eastAsia="es-ES"/>
                            </w:rPr>
                            <w:t xml:space="preserve"> </w:t>
                          </w:r>
                          <w:r w:rsidR="00BC3FD7" w:rsidRPr="00962A26">
                            <w:rPr>
                              <w:rFonts w:ascii="Times New Roman" w:hAnsi="Times New Roman"/>
                              <w:b/>
                              <w:szCs w:val="24"/>
                              <w:lang w:val="es-ES" w:eastAsia="es-ES"/>
                            </w:rPr>
                            <w:t>PROCESO DE FORMULACIÓN PRESUPUESTARIA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2.2pt;margin-top:16.3pt;width:267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" stroked="f">
              <v:textbox>
                <w:txbxContent>
                  <w:p w:rsidR="003A0E55" w:rsidRPr="00962A26" w:rsidRDefault="003A0E55" w:rsidP="003714BF">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62A26">
                      <w:rPr>
                        <w:rFonts w:ascii="Times New Roman" w:hAnsi="Times New Roman"/>
                        <w:b/>
                        <w:szCs w:val="24"/>
                        <w:lang w:val="es-ES" w:eastAsia="es-ES"/>
                      </w:rPr>
                      <w:t xml:space="preserve">INFORME </w:t>
                    </w:r>
                    <w:r w:rsidR="00962A26" w:rsidRPr="00962A26">
                      <w:rPr>
                        <w:rFonts w:ascii="Times New Roman" w:hAnsi="Times New Roman"/>
                        <w:b/>
                        <w:szCs w:val="24"/>
                        <w:lang w:val="es-ES" w:eastAsia="es-ES"/>
                      </w:rPr>
                      <w:t>74</w:t>
                    </w:r>
                    <w:r w:rsidRPr="00962A26">
                      <w:rPr>
                        <w:rFonts w:ascii="Times New Roman" w:hAnsi="Times New Roman"/>
                        <w:b/>
                        <w:szCs w:val="24"/>
                        <w:lang w:val="es-ES" w:eastAsia="es-ES"/>
                      </w:rPr>
                      <w:t>-18</w:t>
                    </w:r>
                  </w:p>
                  <w:p w:rsidR="003A0E55" w:rsidRPr="00962A26" w:rsidRDefault="003714BF" w:rsidP="003714BF">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62A26">
                      <w:rPr>
                        <w:rFonts w:ascii="Times New Roman" w:hAnsi="Times New Roman"/>
                        <w:b/>
                        <w:szCs w:val="24"/>
                        <w:lang w:val="es-ES" w:eastAsia="es-ES"/>
                      </w:rPr>
                      <w:t>SEG.</w:t>
                    </w:r>
                    <w:r w:rsidR="008D6F1F" w:rsidRPr="00962A26">
                      <w:rPr>
                        <w:rFonts w:ascii="Times New Roman" w:hAnsi="Times New Roman"/>
                        <w:b/>
                        <w:szCs w:val="24"/>
                        <w:lang w:val="es-ES" w:eastAsia="es-ES"/>
                      </w:rPr>
                      <w:t xml:space="preserve"> INF</w:t>
                    </w:r>
                    <w:r w:rsidRPr="00962A26">
                      <w:rPr>
                        <w:rFonts w:ascii="Times New Roman" w:hAnsi="Times New Roman"/>
                        <w:b/>
                        <w:szCs w:val="24"/>
                        <w:lang w:val="es-ES" w:eastAsia="es-ES"/>
                      </w:rPr>
                      <w:t>.</w:t>
                    </w:r>
                    <w:r w:rsidR="008D6F1F" w:rsidRPr="00962A26">
                      <w:rPr>
                        <w:rFonts w:ascii="Times New Roman" w:hAnsi="Times New Roman"/>
                        <w:b/>
                        <w:szCs w:val="24"/>
                        <w:lang w:val="es-ES" w:eastAsia="es-ES"/>
                      </w:rPr>
                      <w:t xml:space="preserve"> </w:t>
                    </w:r>
                    <w:r w:rsidR="00BC3FD7" w:rsidRPr="00962A26">
                      <w:rPr>
                        <w:rFonts w:ascii="Times New Roman" w:hAnsi="Times New Roman"/>
                        <w:b/>
                        <w:szCs w:val="24"/>
                        <w:lang w:val="es-ES" w:eastAsia="es-ES"/>
                      </w:rPr>
                      <w:t>18-10</w:t>
                    </w:r>
                    <w:r w:rsidR="00AA482E" w:rsidRPr="00962A26">
                      <w:rPr>
                        <w:rFonts w:ascii="Times New Roman" w:hAnsi="Times New Roman"/>
                        <w:b/>
                        <w:szCs w:val="24"/>
                        <w:lang w:val="es-ES" w:eastAsia="es-ES"/>
                      </w:rPr>
                      <w:t xml:space="preserve"> </w:t>
                    </w:r>
                    <w:r w:rsidR="00BC3FD7" w:rsidRPr="00962A26">
                      <w:rPr>
                        <w:rFonts w:ascii="Times New Roman" w:hAnsi="Times New Roman"/>
                        <w:b/>
                        <w:szCs w:val="24"/>
                        <w:lang w:val="es-ES" w:eastAsia="es-ES"/>
                      </w:rPr>
                      <w:t>PROCESO DE FORMULACIÓN PRESUPUESTARIA</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83C80"/>
    <w:multiLevelType w:val="hybridMultilevel"/>
    <w:tmpl w:val="86D2C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EE92927"/>
    <w:multiLevelType w:val="hybridMultilevel"/>
    <w:tmpl w:val="08E6DA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49E"/>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9F1"/>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3FB"/>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0E6"/>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09E"/>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25F"/>
    <w:rsid w:val="0017093E"/>
    <w:rsid w:val="00170B3B"/>
    <w:rsid w:val="00170C11"/>
    <w:rsid w:val="00170C44"/>
    <w:rsid w:val="00170E2A"/>
    <w:rsid w:val="00171F3D"/>
    <w:rsid w:val="0017220E"/>
    <w:rsid w:val="00172B3E"/>
    <w:rsid w:val="00173165"/>
    <w:rsid w:val="001732DE"/>
    <w:rsid w:val="001733DA"/>
    <w:rsid w:val="001735B8"/>
    <w:rsid w:val="00173B09"/>
    <w:rsid w:val="00173EDE"/>
    <w:rsid w:val="001748C2"/>
    <w:rsid w:val="001749C4"/>
    <w:rsid w:val="00174A2A"/>
    <w:rsid w:val="00174A3A"/>
    <w:rsid w:val="00174D49"/>
    <w:rsid w:val="00174F8C"/>
    <w:rsid w:val="00175DFE"/>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2EA"/>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C5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9BE"/>
    <w:rsid w:val="001E1DEC"/>
    <w:rsid w:val="001E2219"/>
    <w:rsid w:val="001E26E3"/>
    <w:rsid w:val="001E2B21"/>
    <w:rsid w:val="001E2B42"/>
    <w:rsid w:val="001E2CCB"/>
    <w:rsid w:val="001E35EC"/>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3FD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0E"/>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9B7"/>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1E03"/>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879"/>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6DC0"/>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09A"/>
    <w:rsid w:val="002D21B5"/>
    <w:rsid w:val="002D225D"/>
    <w:rsid w:val="002D22A2"/>
    <w:rsid w:val="002D2621"/>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6D"/>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7DE"/>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BF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7C9"/>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013"/>
    <w:rsid w:val="003625E2"/>
    <w:rsid w:val="003630FD"/>
    <w:rsid w:val="003631A5"/>
    <w:rsid w:val="00363809"/>
    <w:rsid w:val="003638EA"/>
    <w:rsid w:val="00363D42"/>
    <w:rsid w:val="0036407F"/>
    <w:rsid w:val="003640C3"/>
    <w:rsid w:val="00364821"/>
    <w:rsid w:val="0036495E"/>
    <w:rsid w:val="00364DAE"/>
    <w:rsid w:val="00364FB8"/>
    <w:rsid w:val="0036520D"/>
    <w:rsid w:val="003652AF"/>
    <w:rsid w:val="003656A5"/>
    <w:rsid w:val="00365D4E"/>
    <w:rsid w:val="00366396"/>
    <w:rsid w:val="003677FD"/>
    <w:rsid w:val="003708FE"/>
    <w:rsid w:val="003714BF"/>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59F"/>
    <w:rsid w:val="00382919"/>
    <w:rsid w:val="00382D81"/>
    <w:rsid w:val="00382E78"/>
    <w:rsid w:val="00382EE1"/>
    <w:rsid w:val="00383084"/>
    <w:rsid w:val="0038311D"/>
    <w:rsid w:val="00383763"/>
    <w:rsid w:val="003838A7"/>
    <w:rsid w:val="00383C7B"/>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462"/>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9C"/>
    <w:rsid w:val="003B00FA"/>
    <w:rsid w:val="003B0DEE"/>
    <w:rsid w:val="003B23FF"/>
    <w:rsid w:val="003B2617"/>
    <w:rsid w:val="003B48D9"/>
    <w:rsid w:val="003B4CC6"/>
    <w:rsid w:val="003B53D7"/>
    <w:rsid w:val="003B53F7"/>
    <w:rsid w:val="003B562E"/>
    <w:rsid w:val="003B5D9A"/>
    <w:rsid w:val="003B6201"/>
    <w:rsid w:val="003B62D9"/>
    <w:rsid w:val="003B6F83"/>
    <w:rsid w:val="003B7229"/>
    <w:rsid w:val="003B7478"/>
    <w:rsid w:val="003B79C5"/>
    <w:rsid w:val="003B7C2A"/>
    <w:rsid w:val="003B7F35"/>
    <w:rsid w:val="003C00FF"/>
    <w:rsid w:val="003C017D"/>
    <w:rsid w:val="003C05F3"/>
    <w:rsid w:val="003C141C"/>
    <w:rsid w:val="003C1598"/>
    <w:rsid w:val="003C1825"/>
    <w:rsid w:val="003C1EC1"/>
    <w:rsid w:val="003C21AB"/>
    <w:rsid w:val="003C27AA"/>
    <w:rsid w:val="003C394E"/>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0FA"/>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2A2"/>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8EB"/>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57B39"/>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2946"/>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1B98"/>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3E15"/>
    <w:rsid w:val="0052495E"/>
    <w:rsid w:val="005249E8"/>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1E2"/>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583"/>
    <w:rsid w:val="0056560C"/>
    <w:rsid w:val="005657CB"/>
    <w:rsid w:val="00566305"/>
    <w:rsid w:val="00566430"/>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43E"/>
    <w:rsid w:val="00592A9F"/>
    <w:rsid w:val="0059346A"/>
    <w:rsid w:val="00593528"/>
    <w:rsid w:val="00593ACB"/>
    <w:rsid w:val="00593DE0"/>
    <w:rsid w:val="00594144"/>
    <w:rsid w:val="005949F6"/>
    <w:rsid w:val="005950B3"/>
    <w:rsid w:val="00595559"/>
    <w:rsid w:val="005955E8"/>
    <w:rsid w:val="00595684"/>
    <w:rsid w:val="005973FD"/>
    <w:rsid w:val="00597712"/>
    <w:rsid w:val="00597AEA"/>
    <w:rsid w:val="005A0173"/>
    <w:rsid w:val="005A02A9"/>
    <w:rsid w:val="005A0B59"/>
    <w:rsid w:val="005A1100"/>
    <w:rsid w:val="005A1AF9"/>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3FD"/>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7CD"/>
    <w:rsid w:val="00626D17"/>
    <w:rsid w:val="00627527"/>
    <w:rsid w:val="006279F1"/>
    <w:rsid w:val="0063092A"/>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A6F"/>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30"/>
    <w:rsid w:val="006A02D0"/>
    <w:rsid w:val="006A036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C07"/>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6E"/>
    <w:rsid w:val="006E0CEB"/>
    <w:rsid w:val="006E135D"/>
    <w:rsid w:val="006E1873"/>
    <w:rsid w:val="006E18C9"/>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5F6"/>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3E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3D0"/>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53"/>
    <w:rsid w:val="007719E0"/>
    <w:rsid w:val="00771A1A"/>
    <w:rsid w:val="00771E74"/>
    <w:rsid w:val="0077201C"/>
    <w:rsid w:val="007741AD"/>
    <w:rsid w:val="007748AD"/>
    <w:rsid w:val="007749C8"/>
    <w:rsid w:val="0077507C"/>
    <w:rsid w:val="007759A1"/>
    <w:rsid w:val="00775D04"/>
    <w:rsid w:val="0077618A"/>
    <w:rsid w:val="007765ED"/>
    <w:rsid w:val="00776606"/>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00"/>
    <w:rsid w:val="007B60A0"/>
    <w:rsid w:val="007B7452"/>
    <w:rsid w:val="007B74F2"/>
    <w:rsid w:val="007B772B"/>
    <w:rsid w:val="007B7805"/>
    <w:rsid w:val="007B783F"/>
    <w:rsid w:val="007B7958"/>
    <w:rsid w:val="007B7F86"/>
    <w:rsid w:val="007C0810"/>
    <w:rsid w:val="007C088D"/>
    <w:rsid w:val="007C0B50"/>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5FA"/>
    <w:rsid w:val="00800809"/>
    <w:rsid w:val="00800CA3"/>
    <w:rsid w:val="00800E6F"/>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5DA"/>
    <w:rsid w:val="008149E8"/>
    <w:rsid w:val="00814AE8"/>
    <w:rsid w:val="00814F9A"/>
    <w:rsid w:val="00815944"/>
    <w:rsid w:val="00815957"/>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AEB"/>
    <w:rsid w:val="00823B4E"/>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4FE3"/>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97D90"/>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192"/>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5C33"/>
    <w:rsid w:val="008C6420"/>
    <w:rsid w:val="008C67B5"/>
    <w:rsid w:val="008C682A"/>
    <w:rsid w:val="008C6B4B"/>
    <w:rsid w:val="008C70F0"/>
    <w:rsid w:val="008C7117"/>
    <w:rsid w:val="008C7390"/>
    <w:rsid w:val="008C7649"/>
    <w:rsid w:val="008C76D2"/>
    <w:rsid w:val="008C78F8"/>
    <w:rsid w:val="008C79BE"/>
    <w:rsid w:val="008C7B70"/>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6F1F"/>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2E18"/>
    <w:rsid w:val="008E313F"/>
    <w:rsid w:val="008E337C"/>
    <w:rsid w:val="008E33A4"/>
    <w:rsid w:val="008E3637"/>
    <w:rsid w:val="008E3757"/>
    <w:rsid w:val="008E3A71"/>
    <w:rsid w:val="008E5164"/>
    <w:rsid w:val="008E5B5A"/>
    <w:rsid w:val="008E5BD2"/>
    <w:rsid w:val="008E61F0"/>
    <w:rsid w:val="008E66D0"/>
    <w:rsid w:val="008E6C26"/>
    <w:rsid w:val="008E6E88"/>
    <w:rsid w:val="008E6FB8"/>
    <w:rsid w:val="008E7334"/>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ADE"/>
    <w:rsid w:val="00913B08"/>
    <w:rsid w:val="009149F0"/>
    <w:rsid w:val="009155B5"/>
    <w:rsid w:val="00915953"/>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1A8"/>
    <w:rsid w:val="00942819"/>
    <w:rsid w:val="00942907"/>
    <w:rsid w:val="00943299"/>
    <w:rsid w:val="00943687"/>
    <w:rsid w:val="00943957"/>
    <w:rsid w:val="009447F7"/>
    <w:rsid w:val="00944CC8"/>
    <w:rsid w:val="00945334"/>
    <w:rsid w:val="009457AD"/>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0FA"/>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2A2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B79E3"/>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4F85"/>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B0"/>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D11"/>
    <w:rsid w:val="00AA410D"/>
    <w:rsid w:val="00AA43BF"/>
    <w:rsid w:val="00AA482E"/>
    <w:rsid w:val="00AA50A0"/>
    <w:rsid w:val="00AA51A3"/>
    <w:rsid w:val="00AA5882"/>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264"/>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542"/>
    <w:rsid w:val="00B04657"/>
    <w:rsid w:val="00B05140"/>
    <w:rsid w:val="00B052C9"/>
    <w:rsid w:val="00B053A8"/>
    <w:rsid w:val="00B0588D"/>
    <w:rsid w:val="00B05FEB"/>
    <w:rsid w:val="00B067B1"/>
    <w:rsid w:val="00B069DE"/>
    <w:rsid w:val="00B06C6F"/>
    <w:rsid w:val="00B06D43"/>
    <w:rsid w:val="00B071E7"/>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E0C"/>
    <w:rsid w:val="00B36028"/>
    <w:rsid w:val="00B3619F"/>
    <w:rsid w:val="00B37033"/>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6BF"/>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3C5"/>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3FD7"/>
    <w:rsid w:val="00BC455D"/>
    <w:rsid w:val="00BC46BE"/>
    <w:rsid w:val="00BC4B9A"/>
    <w:rsid w:val="00BC4CB2"/>
    <w:rsid w:val="00BC59D7"/>
    <w:rsid w:val="00BC60E3"/>
    <w:rsid w:val="00BC61BF"/>
    <w:rsid w:val="00BC64A5"/>
    <w:rsid w:val="00BC6C44"/>
    <w:rsid w:val="00BC6CC1"/>
    <w:rsid w:val="00BC6EB8"/>
    <w:rsid w:val="00BC7438"/>
    <w:rsid w:val="00BC7519"/>
    <w:rsid w:val="00BC7A50"/>
    <w:rsid w:val="00BC7A8C"/>
    <w:rsid w:val="00BC7D09"/>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91A"/>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7F8"/>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0BC"/>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11"/>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570C"/>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17"/>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22"/>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AD6"/>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8C0"/>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4C66"/>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3C6"/>
    <w:rsid w:val="00D6380B"/>
    <w:rsid w:val="00D639BC"/>
    <w:rsid w:val="00D63E6C"/>
    <w:rsid w:val="00D64041"/>
    <w:rsid w:val="00D64258"/>
    <w:rsid w:val="00D643D1"/>
    <w:rsid w:val="00D649EC"/>
    <w:rsid w:val="00D64E9F"/>
    <w:rsid w:val="00D6553A"/>
    <w:rsid w:val="00D66BC1"/>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097"/>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67F"/>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199"/>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923"/>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A18"/>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66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6C2"/>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EDE"/>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2D0"/>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8D4"/>
    <w:rsid w:val="00EF6A60"/>
    <w:rsid w:val="00EF7210"/>
    <w:rsid w:val="00EF745D"/>
    <w:rsid w:val="00EF793F"/>
    <w:rsid w:val="00EF7BE8"/>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4DE"/>
    <w:rsid w:val="00F1552C"/>
    <w:rsid w:val="00F15EF6"/>
    <w:rsid w:val="00F16A7E"/>
    <w:rsid w:val="00F16D9F"/>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6EAA"/>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776"/>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AAA"/>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5EB"/>
    <w:rsid w:val="00FC2634"/>
    <w:rsid w:val="00FC298B"/>
    <w:rsid w:val="00FC346F"/>
    <w:rsid w:val="00FC3995"/>
    <w:rsid w:val="00FC3D27"/>
    <w:rsid w:val="00FC4A59"/>
    <w:rsid w:val="00FC6998"/>
    <w:rsid w:val="00FC6C70"/>
    <w:rsid w:val="00FC71E9"/>
    <w:rsid w:val="00FC7421"/>
    <w:rsid w:val="00FD03D0"/>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126"/>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A29"/>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D0264"/>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173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988A-5901-4C65-BA17-97FB6D0A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2018-12-04T19:03:00Z</dcterms:created>
  <dcterms:modified xsi:type="dcterms:W3CDTF">2018-12-04T19:03:00Z</dcterms:modified>
</cp:coreProperties>
</file>