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019" w:rsidRDefault="00140019" w:rsidP="0014001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DIRECTRIZ</w:t>
      </w:r>
    </w:p>
    <w:p w:rsidR="00140019" w:rsidRDefault="00140019" w:rsidP="0014001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N° 079-MP-MSP</w:t>
      </w:r>
    </w:p>
    <w:p w:rsidR="00140019" w:rsidRDefault="00140019" w:rsidP="0014001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140019" w:rsidRDefault="00140019" w:rsidP="0014001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EL PRESIDENTE DE LA REPÚBLICA,</w:t>
      </w:r>
    </w:p>
    <w:p w:rsidR="00140019" w:rsidRDefault="00140019" w:rsidP="0014001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EL MINISTRO DE LA PRESIDENCIA</w:t>
      </w:r>
    </w:p>
    <w:p w:rsidR="00140019" w:rsidRDefault="00140019" w:rsidP="0014001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Y EL MINISTRO DE SEGURIDAD PÚBLICA</w:t>
      </w:r>
    </w:p>
    <w:p w:rsidR="00140019" w:rsidRDefault="00140019" w:rsidP="0014001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140019" w:rsidRDefault="00140019" w:rsidP="0014001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De conformidad con lo dispuesto en los artículos 140 incisos 8), 9), 18) y 20), de la</w:t>
      </w:r>
    </w:p>
    <w:p w:rsidR="00140019" w:rsidRDefault="00140019" w:rsidP="0014001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Constitución Política y las atribuciones que les confieren los artículos 99 y 100 de la Ley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General de la Administración Pública, Ley N° 6227 del 2 de mayo de 1978, artículo 243 de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la Ley de Transito por las Vías Públicas Terrestres y Seguridad Vial, Ley N° 9078 del 04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de octubre de 2012.</w:t>
      </w:r>
    </w:p>
    <w:p w:rsidR="00140019" w:rsidRDefault="00140019" w:rsidP="0014001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140019" w:rsidRDefault="00140019" w:rsidP="0014001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CONSIDERANDO</w:t>
      </w:r>
    </w:p>
    <w:p w:rsidR="00140019" w:rsidRDefault="00140019" w:rsidP="0014001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140019" w:rsidRDefault="00140019" w:rsidP="0014001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I. Que de conformidad con lo que dispone el artículo 9 de la Constitución Política, el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Gobierno de la República lo ejercen el pueblo y tres Poderes distintos e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independientes entre sí, el Legislativo, el Ejecutivo</w:t>
      </w:r>
      <w:r>
        <w:rPr>
          <w:rFonts w:ascii="TimesNewRoman" w:hAnsi="TimesNewRoman" w:cs="TimesNewRoman"/>
          <w:sz w:val="24"/>
          <w:szCs w:val="24"/>
        </w:rPr>
        <w:t xml:space="preserve"> y el Judicial y ninguno de los </w:t>
      </w:r>
      <w:r>
        <w:rPr>
          <w:rFonts w:ascii="TimesNewRoman" w:hAnsi="TimesNewRoman" w:cs="TimesNewRoman"/>
          <w:sz w:val="24"/>
          <w:szCs w:val="24"/>
        </w:rPr>
        <w:t>Poderes pueden delegar el ejercicio de funciones que le son propias.</w:t>
      </w:r>
    </w:p>
    <w:p w:rsidR="00140019" w:rsidRDefault="00140019" w:rsidP="0014001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II. Que ese mismo artículo constitucional dispone que el Tribunal Supremo de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Elecciones, tendrá rango e independe</w:t>
      </w:r>
      <w:r>
        <w:rPr>
          <w:rFonts w:ascii="TimesNewRoman" w:hAnsi="TimesNewRoman" w:cs="TimesNewRoman"/>
          <w:sz w:val="24"/>
          <w:szCs w:val="24"/>
        </w:rPr>
        <w:t xml:space="preserve">ncia de los Poderes del Estado, </w:t>
      </w:r>
      <w:r>
        <w:rPr>
          <w:rFonts w:ascii="TimesNewRoman" w:hAnsi="TimesNewRoman" w:cs="TimesNewRoman"/>
          <w:sz w:val="24"/>
          <w:szCs w:val="24"/>
        </w:rPr>
        <w:t>correspondiéndole en forma exclusiva e independient</w:t>
      </w:r>
      <w:r>
        <w:rPr>
          <w:rFonts w:ascii="TimesNewRoman" w:hAnsi="TimesNewRoman" w:cs="TimesNewRoman"/>
          <w:sz w:val="24"/>
          <w:szCs w:val="24"/>
        </w:rPr>
        <w:t xml:space="preserve">e, la organización, dirección y </w:t>
      </w:r>
      <w:r>
        <w:rPr>
          <w:rFonts w:ascii="TimesNewRoman" w:hAnsi="TimesNewRoman" w:cs="TimesNewRoman"/>
          <w:sz w:val="24"/>
          <w:szCs w:val="24"/>
        </w:rPr>
        <w:t>vigilancia de los actos relativos al sufragio.</w:t>
      </w:r>
    </w:p>
    <w:p w:rsidR="00140019" w:rsidRDefault="00140019" w:rsidP="0014001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III. Que el artículo 99 de la Constitución Política, establece que el Tribunal Supremo de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Elecciones es la institución encargada de organiz</w:t>
      </w:r>
      <w:r>
        <w:rPr>
          <w:rFonts w:ascii="TimesNewRoman" w:hAnsi="TimesNewRoman" w:cs="TimesNewRoman"/>
          <w:sz w:val="24"/>
          <w:szCs w:val="24"/>
        </w:rPr>
        <w:t xml:space="preserve">ar, dirigir y vigilar los actos </w:t>
      </w:r>
      <w:r>
        <w:rPr>
          <w:rFonts w:ascii="TimesNewRoman" w:hAnsi="TimesNewRoman" w:cs="TimesNewRoman"/>
          <w:sz w:val="24"/>
          <w:szCs w:val="24"/>
        </w:rPr>
        <w:t>relativos al sufragio, de manera que los procesos electorales resulten transparentes y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confiables y sean capaces de sustentar la convivencia democrática.</w:t>
      </w:r>
    </w:p>
    <w:p w:rsidR="00140019" w:rsidRDefault="00140019" w:rsidP="00140019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IV. Que el inciso 9 del artículo 140 de la Constitución Política, establece como parte de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los deberes y atribuciones del Poder Ejecutivo: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“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Ejecutar y hacer cumplir todo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cuanto resuelvan o dispongan en los asuntos de s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u competencia los tribunales de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Justicia y los organismos electorales, a solicitud de los mismos”.</w:t>
      </w:r>
    </w:p>
    <w:p w:rsidR="00140019" w:rsidRDefault="00140019" w:rsidP="0014001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V. Que el artículo 158 del Código Electoral, establece que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“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Por lo menos quince días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antes de la fecha fijada para las elecciones, el Regi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stro Electoral tendrá que haber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enviado el material y la documentación electoral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es a las juntas cantonales, las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cuales lo distribuirán de inmediato entre las junt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as receptoras de votos, de modo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que lleguen a poder de estas, como mínimo o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cho días naturales antes de las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elecciones. Cuando lo considere conveniente, el TSE podrá disponer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que el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material y la documentación electorales se entreguen directamente a las juntas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receptoras de votos. El TSE especificará, para cada elección, lo que considere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como material y documentación </w:t>
      </w:r>
      <w:r>
        <w:rPr>
          <w:rFonts w:ascii="TimesNewRoman" w:hAnsi="TimesNewRoman" w:cs="TimesNewRoman"/>
          <w:sz w:val="24"/>
          <w:szCs w:val="24"/>
        </w:rPr>
        <w:t xml:space="preserve">electorales,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y adoptará las medidas que garanticen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la seguridad de estos</w:t>
      </w:r>
      <w:r>
        <w:rPr>
          <w:rFonts w:ascii="TimesNewRoman" w:hAnsi="TimesNewRoman" w:cs="TimesNewRoman"/>
          <w:sz w:val="24"/>
          <w:szCs w:val="24"/>
        </w:rPr>
        <w:t>”.</w:t>
      </w:r>
    </w:p>
    <w:p w:rsidR="00140019" w:rsidRDefault="00140019" w:rsidP="0014001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VI. Que en el marco del encuentro sostenido el 15 de febrero del año 2017, entre los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Presidentes de los Supremos Poderes, acord</w:t>
      </w:r>
      <w:r>
        <w:rPr>
          <w:rFonts w:ascii="TimesNewRoman" w:hAnsi="TimesNewRoman" w:cs="TimesNewRoman"/>
          <w:sz w:val="24"/>
          <w:szCs w:val="24"/>
        </w:rPr>
        <w:t xml:space="preserve">aron llevar a cabo acciones que </w:t>
      </w:r>
      <w:r>
        <w:rPr>
          <w:rFonts w:ascii="TimesNewRoman" w:hAnsi="TimesNewRoman" w:cs="TimesNewRoman"/>
          <w:sz w:val="24"/>
          <w:szCs w:val="24"/>
        </w:rPr>
        <w:t>propicien la colaboración interinstitucional,</w:t>
      </w:r>
      <w:r>
        <w:rPr>
          <w:rFonts w:ascii="TimesNewRoman" w:hAnsi="TimesNewRoman" w:cs="TimesNewRoman"/>
          <w:sz w:val="24"/>
          <w:szCs w:val="24"/>
        </w:rPr>
        <w:t xml:space="preserve"> para garantizar el éxito de la </w:t>
      </w:r>
      <w:r>
        <w:rPr>
          <w:rFonts w:ascii="TimesNewRoman" w:hAnsi="TimesNewRoman" w:cs="TimesNewRoman"/>
          <w:sz w:val="24"/>
          <w:szCs w:val="24"/>
        </w:rPr>
        <w:t>celebración de las Elecciones Nacionales, a verificarse el 4 de febrero del año 2018.</w:t>
      </w:r>
    </w:p>
    <w:p w:rsidR="00140019" w:rsidRDefault="00140019" w:rsidP="0014001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VII. Que el Tribunal Supremo de Elecciones no cuenta con suficientes vehículos para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trasladar el material, los documentos electorales</w:t>
      </w:r>
      <w:r>
        <w:rPr>
          <w:rFonts w:ascii="TimesNewRoman" w:hAnsi="TimesNewRoman" w:cs="TimesNewRoman"/>
          <w:sz w:val="24"/>
          <w:szCs w:val="24"/>
        </w:rPr>
        <w:t xml:space="preserve">, ni de quienes desarrollan los </w:t>
      </w:r>
      <w:r>
        <w:rPr>
          <w:rFonts w:ascii="TimesNewRoman" w:hAnsi="TimesNewRoman" w:cs="TimesNewRoman"/>
          <w:sz w:val="24"/>
          <w:szCs w:val="24"/>
        </w:rPr>
        <w:t>diferentes programas electorales, a las distintas juntas electorales y receptoras,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establecidas en todo el territorio costarr</w:t>
      </w:r>
      <w:r>
        <w:rPr>
          <w:rFonts w:ascii="TimesNewRoman" w:hAnsi="TimesNewRoman" w:cs="TimesNewRoman"/>
          <w:sz w:val="24"/>
          <w:szCs w:val="24"/>
        </w:rPr>
        <w:t xml:space="preserve">icense y para esto es necesario </w:t>
      </w:r>
      <w:r>
        <w:rPr>
          <w:rFonts w:ascii="TimesNewRoman" w:hAnsi="TimesNewRoman" w:cs="TimesNewRoman"/>
          <w:sz w:val="24"/>
          <w:szCs w:val="24"/>
        </w:rPr>
        <w:t>la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colaboración de ministerios, órganos</w:t>
      </w:r>
      <w:r>
        <w:rPr>
          <w:rFonts w:ascii="TimesNewRoman" w:hAnsi="TimesNewRoman" w:cs="TimesNewRoman"/>
          <w:sz w:val="24"/>
          <w:szCs w:val="24"/>
        </w:rPr>
        <w:t xml:space="preserve"> desconcentrados, instituciones </w:t>
      </w:r>
      <w:r>
        <w:rPr>
          <w:rFonts w:ascii="TimesNewRoman" w:hAnsi="TimesNewRoman" w:cs="TimesNewRoman"/>
          <w:sz w:val="24"/>
          <w:szCs w:val="24"/>
        </w:rPr>
        <w:t>descentralizadas y demás entes creados al amparo d</w:t>
      </w:r>
      <w:r>
        <w:rPr>
          <w:rFonts w:ascii="TimesNewRoman" w:hAnsi="TimesNewRoman" w:cs="TimesNewRoman"/>
          <w:sz w:val="24"/>
          <w:szCs w:val="24"/>
        </w:rPr>
        <w:t xml:space="preserve">e los artículos 188 y 189 de la </w:t>
      </w:r>
      <w:r>
        <w:rPr>
          <w:rFonts w:ascii="TimesNewRoman" w:hAnsi="TimesNewRoman" w:cs="TimesNewRoman"/>
          <w:sz w:val="24"/>
          <w:szCs w:val="24"/>
        </w:rPr>
        <w:t>Constitución Política que conforman la Adminis</w:t>
      </w:r>
      <w:r>
        <w:rPr>
          <w:rFonts w:ascii="TimesNewRoman" w:hAnsi="TimesNewRoman" w:cs="TimesNewRoman"/>
          <w:sz w:val="24"/>
          <w:szCs w:val="24"/>
        </w:rPr>
        <w:t xml:space="preserve">tración Pública, para que estos </w:t>
      </w:r>
      <w:r>
        <w:rPr>
          <w:rFonts w:ascii="TimesNewRoman" w:hAnsi="TimesNewRoman" w:cs="TimesNewRoman"/>
          <w:sz w:val="24"/>
          <w:szCs w:val="24"/>
        </w:rPr>
        <w:t>entes faciliten por medio de convenios de préstamo, vehículos de su propiedad al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Tribunal Supremo de Elecciones.</w:t>
      </w:r>
    </w:p>
    <w:p w:rsidR="00140019" w:rsidRDefault="00140019" w:rsidP="0014001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VIII. Que el artículo 243 de la Ley de Transito por las Vías Públicas Terrestres y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Seguridad Vial N° 9078, estipula que: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“Los vehículo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s del Estado, sus instituciones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centralizadas y descentralizadas y gobiernos locales pueden ser ut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ilizados, en casos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de excepción, por otra institución. Salvo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norma expresa en contrario, el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beneficiario asume la responsabilidad de su opera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ción. En caso de pérdida total,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por accidente o robo, los costos corresponden al beneficiario”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IX. Que el Tribunal Supremo de Elecciones no cuenta con suficiente personal para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operar los vehículos que los ministerios, órganos desconcentrados, instituciones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descentralizadas y demás entes públicos puedan llegar a prestarle, razón por la cual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se vuelve necesario que estos entes faciliten a su vez, funcionarios debidamente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autorizados para conducir los vehículos.</w:t>
      </w:r>
    </w:p>
    <w:p w:rsidR="00140019" w:rsidRDefault="00140019" w:rsidP="0014001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X. Que el artículo 112 del Reglamento al Estatuto del Servicio Civil posibilita que los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servidores públicos sean trasladados transitoriamente a desempeñarse en ot</w:t>
      </w:r>
      <w:r>
        <w:rPr>
          <w:rFonts w:ascii="TimesNewRoman" w:hAnsi="TimesNewRoman" w:cs="TimesNewRoman"/>
          <w:sz w:val="24"/>
          <w:szCs w:val="24"/>
        </w:rPr>
        <w:t xml:space="preserve">ras </w:t>
      </w:r>
      <w:r>
        <w:rPr>
          <w:rFonts w:ascii="TimesNewRoman" w:hAnsi="TimesNewRoman" w:cs="TimesNewRoman"/>
          <w:sz w:val="24"/>
          <w:szCs w:val="24"/>
        </w:rPr>
        <w:t>instituciones del Estado, sin dejar de disfrutar los b</w:t>
      </w:r>
      <w:r>
        <w:rPr>
          <w:rFonts w:ascii="TimesNewRoman" w:hAnsi="TimesNewRoman" w:cs="TimesNewRoman"/>
          <w:sz w:val="24"/>
          <w:szCs w:val="24"/>
        </w:rPr>
        <w:t xml:space="preserve">eneficios y deberes que les han </w:t>
      </w:r>
      <w:r>
        <w:rPr>
          <w:rFonts w:ascii="TimesNewRoman" w:hAnsi="TimesNewRoman" w:cs="TimesNewRoman"/>
          <w:sz w:val="24"/>
          <w:szCs w:val="24"/>
        </w:rPr>
        <w:t>sido conferidos.</w:t>
      </w:r>
    </w:p>
    <w:p w:rsidR="00140019" w:rsidRDefault="00140019" w:rsidP="0014001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XI. Que el inciso 6 del artículo 102 de la Cons</w:t>
      </w:r>
      <w:r>
        <w:rPr>
          <w:rFonts w:ascii="TimesNewRoman" w:hAnsi="TimesNewRoman" w:cs="TimesNewRoman"/>
          <w:sz w:val="24"/>
          <w:szCs w:val="24"/>
        </w:rPr>
        <w:t xml:space="preserve">titución Política establece que </w:t>
      </w:r>
      <w:r>
        <w:rPr>
          <w:rFonts w:ascii="TimesNewRoman" w:hAnsi="TimesNewRoman" w:cs="TimesNewRoman"/>
          <w:sz w:val="24"/>
          <w:szCs w:val="24"/>
        </w:rPr>
        <w:t>corresponde al Tribunal Supremo de Elecciones dictar, con respecto a l</w:t>
      </w:r>
      <w:r>
        <w:rPr>
          <w:rFonts w:ascii="TimesNewRoman" w:hAnsi="TimesNewRoman" w:cs="TimesNewRoman"/>
          <w:sz w:val="24"/>
          <w:szCs w:val="24"/>
        </w:rPr>
        <w:t xml:space="preserve">a fuerza </w:t>
      </w:r>
      <w:r>
        <w:rPr>
          <w:rFonts w:ascii="TimesNewRoman" w:hAnsi="TimesNewRoman" w:cs="TimesNewRoman"/>
          <w:sz w:val="24"/>
          <w:szCs w:val="24"/>
        </w:rPr>
        <w:t>pública, las medidas pertinentes para que los procesos electorales se desarrollen en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condiciones de garantías y libertad irrestrictas.</w:t>
      </w:r>
    </w:p>
    <w:p w:rsidR="00140019" w:rsidRDefault="00140019" w:rsidP="0014001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XII. Que el artículo 142 del Código Electoral dispo</w:t>
      </w:r>
      <w:r>
        <w:rPr>
          <w:rFonts w:ascii="TimesNewRoman" w:hAnsi="TimesNewRoman" w:cs="TimesNewRoman"/>
          <w:sz w:val="24"/>
          <w:szCs w:val="24"/>
        </w:rPr>
        <w:t xml:space="preserve">ne la prohibición relativa a la </w:t>
      </w:r>
      <w:r>
        <w:rPr>
          <w:rFonts w:ascii="TimesNewRoman" w:hAnsi="TimesNewRoman" w:cs="TimesNewRoman"/>
          <w:sz w:val="24"/>
          <w:szCs w:val="24"/>
        </w:rPr>
        <w:t>publicidad de la gestión gubernamental durante los procesos electorales.</w:t>
      </w:r>
    </w:p>
    <w:p w:rsidR="00140019" w:rsidRDefault="00140019" w:rsidP="0014001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XIII. Que el artículo 146 del Código Electoral señala las </w:t>
      </w:r>
      <w:r>
        <w:rPr>
          <w:rFonts w:ascii="TimesNewRoman" w:hAnsi="TimesNewRoman" w:cs="TimesNewRoman"/>
          <w:sz w:val="24"/>
          <w:szCs w:val="24"/>
        </w:rPr>
        <w:t xml:space="preserve">prohibiciones contempladas para </w:t>
      </w:r>
      <w:r>
        <w:rPr>
          <w:rFonts w:ascii="TimesNewRoman" w:hAnsi="TimesNewRoman" w:cs="TimesNewRoman"/>
          <w:sz w:val="24"/>
          <w:szCs w:val="24"/>
        </w:rPr>
        <w:t>los empleados y funcionarios públicos con ocasión de esos procesos electorales.</w:t>
      </w:r>
    </w:p>
    <w:p w:rsidR="00140019" w:rsidRDefault="00140019" w:rsidP="0014001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XIV. Que de acuerdo con el Cronograma Electoral la Convocatoria a las Elecciones</w:t>
      </w:r>
    </w:p>
    <w:p w:rsidR="00140019" w:rsidRDefault="00140019" w:rsidP="0014001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Nacionales se llevará a cabo el día 4 de octubre del año en curso.</w:t>
      </w:r>
    </w:p>
    <w:p w:rsidR="004B275D" w:rsidRDefault="004B275D" w:rsidP="0014001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140019" w:rsidRDefault="00140019" w:rsidP="0014001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Por Tanto, se emite la siguiente Directriz:</w:t>
      </w:r>
    </w:p>
    <w:p w:rsidR="004B275D" w:rsidRDefault="004B275D" w:rsidP="004B27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B275D" w:rsidRDefault="00140019" w:rsidP="004B27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DIRIGIDA A LOS JERARCAS DE MINISTERIOS, ÓRGANOS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DESCONCENTRADOS, INSTITUCIONES AUTÓNOMAS Y DEMÁS ENTES QUE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CONFORMEN LA ADMINISTRACIÓN PÚBLICA</w:t>
      </w:r>
    </w:p>
    <w:p w:rsidR="004B275D" w:rsidRDefault="004B275D" w:rsidP="004B27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40019" w:rsidRDefault="00140019" w:rsidP="004B27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“SOBRE LA COLABORACIÓN AL TRIBUNAL SUPREMO DE ELECCIONES EN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PERIODO ELECTORAL”</w:t>
      </w:r>
    </w:p>
    <w:p w:rsidR="004B275D" w:rsidRDefault="004B275D" w:rsidP="004B27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40019" w:rsidRDefault="00140019" w:rsidP="0014001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Artículo 1°- </w:t>
      </w:r>
      <w:r>
        <w:rPr>
          <w:rFonts w:ascii="TimesNewRoman" w:hAnsi="TimesNewRoman" w:cs="TimesNewRoman"/>
          <w:sz w:val="24"/>
          <w:szCs w:val="24"/>
        </w:rPr>
        <w:t>Se instruye a los jerarcas de Minist</w:t>
      </w:r>
      <w:r>
        <w:rPr>
          <w:rFonts w:ascii="TimesNewRoman" w:hAnsi="TimesNewRoman" w:cs="TimesNewRoman"/>
          <w:sz w:val="24"/>
          <w:szCs w:val="24"/>
        </w:rPr>
        <w:t xml:space="preserve">erios, Órganos Desconcentrados, </w:t>
      </w:r>
      <w:r>
        <w:rPr>
          <w:rFonts w:ascii="TimesNewRoman" w:hAnsi="TimesNewRoman" w:cs="TimesNewRoman"/>
          <w:sz w:val="24"/>
          <w:szCs w:val="24"/>
        </w:rPr>
        <w:t>Instituciones Autónomas y demás entes que conformen la Admi</w:t>
      </w:r>
      <w:r>
        <w:rPr>
          <w:rFonts w:ascii="TimesNewRoman" w:hAnsi="TimesNewRoman" w:cs="TimesNewRoman"/>
          <w:sz w:val="24"/>
          <w:szCs w:val="24"/>
        </w:rPr>
        <w:t xml:space="preserve">nistración Pública a </w:t>
      </w:r>
      <w:r>
        <w:rPr>
          <w:rFonts w:ascii="TimesNewRoman" w:hAnsi="TimesNewRoman" w:cs="TimesNewRoman"/>
          <w:sz w:val="24"/>
          <w:szCs w:val="24"/>
        </w:rPr>
        <w:lastRenderedPageBreak/>
        <w:t>facilitar en calidad de préstamo vehículos oficiales de sus f</w:t>
      </w:r>
      <w:r>
        <w:rPr>
          <w:rFonts w:ascii="TimesNewRoman" w:hAnsi="TimesNewRoman" w:cs="TimesNewRoman"/>
          <w:sz w:val="24"/>
          <w:szCs w:val="24"/>
        </w:rPr>
        <w:t xml:space="preserve">lotillas institucionales, y sus </w:t>
      </w:r>
      <w:r>
        <w:rPr>
          <w:rFonts w:ascii="TimesNewRoman" w:hAnsi="TimesNewRoman" w:cs="TimesNewRoman"/>
          <w:sz w:val="24"/>
          <w:szCs w:val="24"/>
        </w:rPr>
        <w:t>respectivos operadores, a partir de la Convocatoria de Elecciones y hasta la celebración de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los comicios, con el fin de que sean utilizados por el Tribunal Supremo de Elecciones, en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diversas actividades propias de la logística electoral en diferentes puntos del país; entre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sz w:val="24"/>
          <w:szCs w:val="24"/>
        </w:rPr>
        <w:t>ellas, la distribución y recolección de material electoral, las labores de integración,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sz w:val="24"/>
          <w:szCs w:val="24"/>
        </w:rPr>
        <w:t>capacitación e instalación de las juntas receptoras de votos, ratificación de los centros de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sz w:val="24"/>
          <w:szCs w:val="24"/>
        </w:rPr>
        <w:t>votación, para lo cual deberá suscribirse el correspondiente convenio de cooperación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sz w:val="24"/>
          <w:szCs w:val="24"/>
        </w:rPr>
        <w:t>interinstitucional.</w:t>
      </w:r>
    </w:p>
    <w:p w:rsidR="001444E8" w:rsidRPr="00140019" w:rsidRDefault="001444E8" w:rsidP="0014001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bookmarkStart w:id="0" w:name="_GoBack"/>
      <w:bookmarkEnd w:id="0"/>
    </w:p>
    <w:p w:rsidR="00140019" w:rsidRPr="00140019" w:rsidRDefault="00140019" w:rsidP="00140019">
      <w:pPr>
        <w:jc w:val="both"/>
        <w:rPr>
          <w:rFonts w:ascii="TimesNewRoman" w:hAnsi="TimesNewRoman" w:cs="TimesNewRoman"/>
          <w:sz w:val="24"/>
          <w:szCs w:val="24"/>
        </w:rPr>
      </w:pPr>
      <w:r w:rsidRPr="00140019">
        <w:rPr>
          <w:rFonts w:ascii="TimesNewRoman" w:hAnsi="TimesNewRoman" w:cs="TimesNewRoman"/>
          <w:b/>
          <w:bCs/>
          <w:sz w:val="24"/>
          <w:szCs w:val="24"/>
        </w:rPr>
        <w:t xml:space="preserve">Artículo 2°- </w:t>
      </w:r>
      <w:r w:rsidRPr="00140019">
        <w:rPr>
          <w:rFonts w:ascii="TimesNewRoman" w:hAnsi="TimesNewRoman" w:cs="TimesNewRoman"/>
          <w:sz w:val="24"/>
          <w:szCs w:val="24"/>
        </w:rPr>
        <w:t>Se insta a los jerarcas de Ministerios, Órganos Desconcentrados, Instituciones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sz w:val="24"/>
          <w:szCs w:val="24"/>
        </w:rPr>
        <w:t>Autónomas y demás entes que conformen la Administración Pública, a suscribir contratos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sz w:val="24"/>
          <w:szCs w:val="24"/>
        </w:rPr>
        <w:t>de convenio de préstamo con el Tribunal Supremo de Elecciones, para formalizar el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sz w:val="24"/>
          <w:szCs w:val="24"/>
        </w:rPr>
        <w:t>préstamo de vehículos y los respectivos funcionarios operadores, a fin de satisfacer las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sz w:val="24"/>
          <w:szCs w:val="24"/>
        </w:rPr>
        <w:t>necesidades de transporte de material electoral y de quienes desarrollan los diferentes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sz w:val="24"/>
          <w:szCs w:val="24"/>
        </w:rPr>
        <w:t>programas electorales.</w:t>
      </w:r>
    </w:p>
    <w:p w:rsidR="00140019" w:rsidRPr="00140019" w:rsidRDefault="00140019" w:rsidP="00140019">
      <w:pPr>
        <w:jc w:val="both"/>
        <w:rPr>
          <w:rFonts w:ascii="TimesNewRoman" w:hAnsi="TimesNewRoman" w:cs="TimesNewRoman"/>
          <w:sz w:val="24"/>
          <w:szCs w:val="24"/>
        </w:rPr>
      </w:pPr>
      <w:r w:rsidRPr="00140019">
        <w:rPr>
          <w:rFonts w:ascii="TimesNewRoman" w:hAnsi="TimesNewRoman" w:cs="TimesNewRoman"/>
          <w:b/>
          <w:bCs/>
          <w:sz w:val="24"/>
          <w:szCs w:val="24"/>
        </w:rPr>
        <w:t xml:space="preserve">Artículo 3°- </w:t>
      </w:r>
      <w:r w:rsidRPr="00140019">
        <w:rPr>
          <w:rFonts w:ascii="TimesNewRoman" w:hAnsi="TimesNewRoman" w:cs="TimesNewRoman"/>
          <w:sz w:val="24"/>
          <w:szCs w:val="24"/>
        </w:rPr>
        <w:t>Se ordena al Ministerio de Seguridad Pública tome las previsiones pertinentes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sz w:val="24"/>
          <w:szCs w:val="24"/>
        </w:rPr>
        <w:t>para el efectivo cumplimiento de lo establecido en el numeral 102 de la Constitución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sz w:val="24"/>
          <w:szCs w:val="24"/>
        </w:rPr>
        <w:t>Política, para lo cual es necesaria la debida coordinación entre los cuerpos de policía y el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sz w:val="24"/>
          <w:szCs w:val="24"/>
        </w:rPr>
        <w:t>Cuerpo Nacional de Delegados del Tribunal Supremo de Elecciones, en lo que corresponde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sz w:val="24"/>
          <w:szCs w:val="24"/>
        </w:rPr>
        <w:t>a la atención de actividades proselitistas en sitios públicos, así como durante la jornada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sz w:val="24"/>
          <w:szCs w:val="24"/>
        </w:rPr>
        <w:t>comicial, sino también para la adecuada resolución de las solicitudes de apertura de clubes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sz w:val="24"/>
          <w:szCs w:val="24"/>
        </w:rPr>
        <w:t>partidarios.</w:t>
      </w:r>
    </w:p>
    <w:p w:rsidR="00140019" w:rsidRPr="00140019" w:rsidRDefault="00140019" w:rsidP="00140019">
      <w:pPr>
        <w:jc w:val="both"/>
        <w:rPr>
          <w:rFonts w:ascii="TimesNewRoman" w:hAnsi="TimesNewRoman" w:cs="TimesNewRoman"/>
          <w:sz w:val="24"/>
          <w:szCs w:val="24"/>
        </w:rPr>
      </w:pPr>
      <w:r w:rsidRPr="00140019">
        <w:rPr>
          <w:rFonts w:ascii="TimesNewRoman" w:hAnsi="TimesNewRoman" w:cs="TimesNewRoman"/>
          <w:b/>
          <w:bCs/>
          <w:sz w:val="24"/>
          <w:szCs w:val="24"/>
        </w:rPr>
        <w:t xml:space="preserve">Artículo 4°- </w:t>
      </w:r>
      <w:r w:rsidRPr="00140019">
        <w:rPr>
          <w:rFonts w:ascii="TimesNewRoman" w:hAnsi="TimesNewRoman" w:cs="TimesNewRoman"/>
          <w:sz w:val="24"/>
          <w:szCs w:val="24"/>
        </w:rPr>
        <w:t>En atención a lo dispuesto en el artículo 142 del Código Electoral, se le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sz w:val="24"/>
          <w:szCs w:val="24"/>
        </w:rPr>
        <w:t>recuerda a las instituciones del Poder Ejecutivo, de la administración descentralizada y de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sz w:val="24"/>
          <w:szCs w:val="24"/>
        </w:rPr>
        <w:t>las empresas del Estado, la prohibición de difundir, mediante cualquier medio de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sz w:val="24"/>
          <w:szCs w:val="24"/>
        </w:rPr>
        <w:t>comunicación, publicidad relativa a la obra pública realizada, a partir del día siguiente de la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sz w:val="24"/>
          <w:szCs w:val="24"/>
        </w:rPr>
        <w:t>convocatoria a elecciones nacionales y hasta el propio día de las elecciones, a excepción de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sz w:val="24"/>
          <w:szCs w:val="24"/>
        </w:rPr>
        <w:t>aquellas informaciones de carácter técnico o científico que resulten indispensables e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sz w:val="24"/>
          <w:szCs w:val="24"/>
        </w:rPr>
        <w:t>impostergables, por referirse a aspectos relacionados con la prestación de servicios públicos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sz w:val="24"/>
          <w:szCs w:val="24"/>
        </w:rPr>
        <w:t>esenciales o por emergencias nacionales. El incumplimiento a esta disposición, hará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sz w:val="24"/>
          <w:szCs w:val="24"/>
        </w:rPr>
        <w:t>incurrir a los funcionarios responsables en el delito de desobediencia y beligerancia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sz w:val="24"/>
          <w:szCs w:val="24"/>
        </w:rPr>
        <w:t>política.</w:t>
      </w:r>
    </w:p>
    <w:p w:rsidR="00140019" w:rsidRPr="00140019" w:rsidRDefault="00140019" w:rsidP="00140019">
      <w:pPr>
        <w:jc w:val="both"/>
        <w:rPr>
          <w:rFonts w:ascii="TimesNewRoman" w:hAnsi="TimesNewRoman" w:cs="TimesNewRoman"/>
          <w:sz w:val="24"/>
          <w:szCs w:val="24"/>
        </w:rPr>
      </w:pPr>
      <w:r w:rsidRPr="00140019">
        <w:rPr>
          <w:rFonts w:ascii="TimesNewRoman" w:hAnsi="TimesNewRoman" w:cs="TimesNewRoman"/>
          <w:b/>
          <w:bCs/>
          <w:sz w:val="24"/>
          <w:szCs w:val="24"/>
        </w:rPr>
        <w:t xml:space="preserve">Artículo 5°- </w:t>
      </w:r>
      <w:r w:rsidRPr="00140019">
        <w:rPr>
          <w:rFonts w:ascii="TimesNewRoman" w:hAnsi="TimesNewRoman" w:cs="TimesNewRoman"/>
          <w:sz w:val="24"/>
          <w:szCs w:val="24"/>
        </w:rPr>
        <w:t>Se le recuerda a los empleados y funcionarios públicos la prohibición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sz w:val="24"/>
          <w:szCs w:val="24"/>
        </w:rPr>
        <w:t>contemplada en el artículo 146 del Código Electoral, la cual dispone:</w:t>
      </w:r>
    </w:p>
    <w:p w:rsidR="00140019" w:rsidRPr="00140019" w:rsidRDefault="00140019" w:rsidP="00140019">
      <w:pPr>
        <w:jc w:val="both"/>
        <w:rPr>
          <w:rFonts w:ascii="TimesNewRoman" w:hAnsi="TimesNewRoman" w:cs="TimesNewRoman"/>
          <w:i/>
          <w:iCs/>
          <w:sz w:val="24"/>
          <w:szCs w:val="24"/>
        </w:rPr>
      </w:pPr>
      <w:r w:rsidRPr="00140019">
        <w:rPr>
          <w:rFonts w:ascii="TimesNewRoman" w:hAnsi="TimesNewRoman" w:cs="TimesNewRoman"/>
          <w:i/>
          <w:iCs/>
          <w:sz w:val="24"/>
          <w:szCs w:val="24"/>
        </w:rPr>
        <w:t xml:space="preserve">“Artículo 146.- Prohibición para empleados y funcionarios públicos. </w:t>
      </w:r>
      <w:proofErr w:type="spellStart"/>
      <w:r w:rsidRPr="00140019">
        <w:rPr>
          <w:rFonts w:ascii="TimesNewRoman" w:hAnsi="TimesNewRoman" w:cs="TimesNewRoman"/>
          <w:i/>
          <w:iCs/>
          <w:sz w:val="24"/>
          <w:szCs w:val="24"/>
        </w:rPr>
        <w:t>Prohíbese</w:t>
      </w:r>
      <w:proofErr w:type="spellEnd"/>
      <w:r w:rsidRPr="00140019">
        <w:rPr>
          <w:rFonts w:ascii="TimesNewRoman" w:hAnsi="TimesNewRoman" w:cs="TimesNewRoman"/>
          <w:i/>
          <w:iCs/>
          <w:sz w:val="24"/>
          <w:szCs w:val="24"/>
        </w:rPr>
        <w:t xml:space="preserve"> a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i/>
          <w:iCs/>
          <w:sz w:val="24"/>
          <w:szCs w:val="24"/>
        </w:rPr>
        <w:t>los empleados públicos dedicarse a trabajos o discusiones de carácter político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i/>
          <w:iCs/>
          <w:sz w:val="24"/>
          <w:szCs w:val="24"/>
        </w:rPr>
        <w:t>electoral,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i/>
          <w:iCs/>
          <w:sz w:val="24"/>
          <w:szCs w:val="24"/>
        </w:rPr>
        <w:t>durante las horas laborales y usar su cargo para beneficiar a un partido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i/>
          <w:iCs/>
          <w:sz w:val="24"/>
          <w:szCs w:val="24"/>
        </w:rPr>
        <w:t>político. Los jefes inmediatos de dichos empleados serán los responsables de vigilar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i/>
          <w:iCs/>
          <w:sz w:val="24"/>
          <w:szCs w:val="24"/>
        </w:rPr>
        <w:t>el cumplimiento de esta disposición.</w:t>
      </w:r>
    </w:p>
    <w:p w:rsidR="00140019" w:rsidRPr="00140019" w:rsidRDefault="00140019" w:rsidP="00140019">
      <w:pPr>
        <w:jc w:val="both"/>
        <w:rPr>
          <w:rFonts w:ascii="TimesNewRoman" w:hAnsi="TimesNewRoman" w:cs="TimesNewRoman"/>
          <w:i/>
          <w:iCs/>
          <w:sz w:val="24"/>
          <w:szCs w:val="24"/>
        </w:rPr>
      </w:pPr>
      <w:r w:rsidRPr="00140019">
        <w:rPr>
          <w:rFonts w:ascii="TimesNewRoman" w:hAnsi="TimesNewRoman" w:cs="TimesNewRoman"/>
          <w:i/>
          <w:iCs/>
          <w:sz w:val="24"/>
          <w:szCs w:val="24"/>
        </w:rPr>
        <w:t>Quienes ejerzan la Presidencia o las Vicepresidencias de la República, los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i/>
          <w:iCs/>
          <w:sz w:val="24"/>
          <w:szCs w:val="24"/>
        </w:rPr>
        <w:t>ministros(as) y viceministros(as), y los miembros activos o las miembros activas del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i/>
          <w:iCs/>
          <w:sz w:val="24"/>
          <w:szCs w:val="24"/>
        </w:rPr>
        <w:lastRenderedPageBreak/>
        <w:t xml:space="preserve">servicio exterior, el contralor o la contralora y </w:t>
      </w:r>
      <w:proofErr w:type="spellStart"/>
      <w:r w:rsidRPr="00140019">
        <w:rPr>
          <w:rFonts w:ascii="TimesNewRoman" w:hAnsi="TimesNewRoman" w:cs="TimesNewRoman"/>
          <w:i/>
          <w:iCs/>
          <w:sz w:val="24"/>
          <w:szCs w:val="24"/>
        </w:rPr>
        <w:t>subcontralor</w:t>
      </w:r>
      <w:proofErr w:type="spellEnd"/>
      <w:r w:rsidRPr="00140019">
        <w:rPr>
          <w:rFonts w:ascii="TimesNewRoman" w:hAnsi="TimesNewRoman" w:cs="TimesNewRoman"/>
          <w:i/>
          <w:iCs/>
          <w:sz w:val="24"/>
          <w:szCs w:val="24"/>
        </w:rPr>
        <w:t xml:space="preserve"> o </w:t>
      </w:r>
      <w:proofErr w:type="spellStart"/>
      <w:r w:rsidRPr="00140019">
        <w:rPr>
          <w:rFonts w:ascii="TimesNewRoman" w:hAnsi="TimesNewRoman" w:cs="TimesNewRoman"/>
          <w:i/>
          <w:iCs/>
          <w:sz w:val="24"/>
          <w:szCs w:val="24"/>
        </w:rPr>
        <w:t>subcontralora</w:t>
      </w:r>
      <w:proofErr w:type="spellEnd"/>
      <w:r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i/>
          <w:iCs/>
          <w:sz w:val="24"/>
          <w:szCs w:val="24"/>
        </w:rPr>
        <w:t>generales de la República, el (la) defensor(a) y el (la) defensor(a) adjunto(a) de los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i/>
          <w:iCs/>
          <w:sz w:val="24"/>
          <w:szCs w:val="24"/>
        </w:rPr>
        <w:t>habitantes, el (la) procurador(a) general y el (la) procurador(a) general adjunto(a),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i/>
          <w:iCs/>
          <w:sz w:val="24"/>
          <w:szCs w:val="24"/>
        </w:rPr>
        <w:t>quienes ejerzan la presidencia ejecutiva, o sean miembros(as) de las juntas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i/>
          <w:iCs/>
          <w:sz w:val="24"/>
          <w:szCs w:val="24"/>
        </w:rPr>
        <w:t>directivas, directores ejecutivos, gerentes y subgerentes de las instituciones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i/>
          <w:iCs/>
          <w:sz w:val="24"/>
          <w:szCs w:val="24"/>
        </w:rPr>
        <w:t>autónomas y todo ente público estatal, los(as) oficiales mayores de los ministerios,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i/>
          <w:iCs/>
          <w:sz w:val="24"/>
          <w:szCs w:val="24"/>
        </w:rPr>
        <w:t>los(as) miembros (as) de la autoridad de policía, los(as) agentes del Organismo de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i/>
          <w:iCs/>
          <w:sz w:val="24"/>
          <w:szCs w:val="24"/>
        </w:rPr>
        <w:t>Investigación Judicial (OIJ), los magistrados(as) y toda persona empleada del TSE,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i/>
          <w:iCs/>
          <w:sz w:val="24"/>
          <w:szCs w:val="24"/>
        </w:rPr>
        <w:t>los magistrados y funcionarios(as) del Poder Judicial que administren justicia, y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i/>
          <w:iCs/>
          <w:sz w:val="24"/>
          <w:szCs w:val="24"/>
        </w:rPr>
        <w:t>quienes tengan prohibición en virtud de otras leyes, no podrán participar en las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i/>
          <w:iCs/>
          <w:sz w:val="24"/>
          <w:szCs w:val="24"/>
        </w:rPr>
        <w:t>actividades de los partidos políticos, asistir a clubes ni reuniones de carácter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i/>
          <w:iCs/>
          <w:sz w:val="24"/>
          <w:szCs w:val="24"/>
        </w:rPr>
        <w:t>político, utilizar la autoridad o influencia de sus cargos en beneficio de los partidos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i/>
          <w:iCs/>
          <w:sz w:val="24"/>
          <w:szCs w:val="24"/>
        </w:rPr>
        <w:t>políticos, colocar divisas en sus viviendas o vehículos, ni hacer ostentación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i/>
          <w:iCs/>
          <w:sz w:val="24"/>
          <w:szCs w:val="24"/>
        </w:rPr>
        <w:t>partidista de cualquier otro género.</w:t>
      </w:r>
    </w:p>
    <w:p w:rsidR="00140019" w:rsidRPr="00140019" w:rsidRDefault="00140019" w:rsidP="00140019">
      <w:pPr>
        <w:jc w:val="both"/>
        <w:rPr>
          <w:rFonts w:ascii="TimesNewRoman" w:hAnsi="TimesNewRoman" w:cs="TimesNewRoman"/>
          <w:i/>
          <w:iCs/>
          <w:sz w:val="24"/>
          <w:szCs w:val="24"/>
        </w:rPr>
      </w:pPr>
      <w:r w:rsidRPr="00140019">
        <w:rPr>
          <w:rFonts w:ascii="TimesNewRoman" w:hAnsi="TimesNewRoman" w:cs="TimesNewRoman"/>
          <w:i/>
          <w:iCs/>
          <w:sz w:val="24"/>
          <w:szCs w:val="24"/>
        </w:rPr>
        <w:t>En materia electoral, las personas funcionarias incluidas en el párrafo segundo de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i/>
          <w:iCs/>
          <w:sz w:val="24"/>
          <w:szCs w:val="24"/>
        </w:rPr>
        <w:t>este artículo, únicamente podrán ejercer el derecho a emitir su voto el día de las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i/>
          <w:iCs/>
          <w:sz w:val="24"/>
          <w:szCs w:val="24"/>
        </w:rPr>
        <w:t>elecciones en la forma y las condiciones establecidas en este Código.</w:t>
      </w:r>
    </w:p>
    <w:p w:rsidR="00140019" w:rsidRPr="00140019" w:rsidRDefault="00140019" w:rsidP="00140019">
      <w:pPr>
        <w:jc w:val="both"/>
        <w:rPr>
          <w:rFonts w:ascii="TimesNewRoman" w:hAnsi="TimesNewRoman" w:cs="TimesNewRoman"/>
          <w:i/>
          <w:iCs/>
          <w:sz w:val="24"/>
          <w:szCs w:val="24"/>
        </w:rPr>
      </w:pPr>
      <w:r w:rsidRPr="00140019">
        <w:rPr>
          <w:rFonts w:ascii="TimesNewRoman" w:hAnsi="TimesNewRoman" w:cs="TimesNewRoman"/>
          <w:i/>
          <w:iCs/>
          <w:sz w:val="24"/>
          <w:szCs w:val="24"/>
        </w:rPr>
        <w:t>El TSE podrá ordenar la destitución e imponer inhabilitación para ejercer cargos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i/>
          <w:iCs/>
          <w:sz w:val="24"/>
          <w:szCs w:val="24"/>
        </w:rPr>
        <w:t>públicos por un período de dos a cuatro años, a los funcionarios citados, cuando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 w:rsidRPr="00140019">
        <w:rPr>
          <w:rFonts w:ascii="TimesNewRoman" w:hAnsi="TimesNewRoman" w:cs="TimesNewRoman"/>
          <w:i/>
          <w:iCs/>
          <w:sz w:val="24"/>
          <w:szCs w:val="24"/>
        </w:rPr>
        <w:t>sus actos contravengan las prohibiciones contempladas en este artículo”.</w:t>
      </w:r>
    </w:p>
    <w:p w:rsidR="00140019" w:rsidRPr="004B275D" w:rsidRDefault="00140019" w:rsidP="00140019">
      <w:pPr>
        <w:jc w:val="both"/>
        <w:rPr>
          <w:rFonts w:ascii="TimesNewRoman" w:hAnsi="TimesNewRoman" w:cs="TimesNewRoman"/>
          <w:iCs/>
          <w:sz w:val="24"/>
          <w:szCs w:val="24"/>
        </w:rPr>
      </w:pPr>
      <w:r w:rsidRPr="004B275D">
        <w:rPr>
          <w:rFonts w:ascii="TimesNewRoman" w:hAnsi="TimesNewRoman" w:cs="TimesNewRoman"/>
          <w:b/>
          <w:bCs/>
          <w:iCs/>
          <w:sz w:val="24"/>
          <w:szCs w:val="24"/>
        </w:rPr>
        <w:t xml:space="preserve">Artículo 6°- Vigencia. </w:t>
      </w:r>
      <w:r w:rsidRPr="004B275D">
        <w:rPr>
          <w:rFonts w:ascii="TimesNewRoman" w:hAnsi="TimesNewRoman" w:cs="TimesNewRoman"/>
          <w:iCs/>
          <w:sz w:val="24"/>
          <w:szCs w:val="24"/>
        </w:rPr>
        <w:t>Rige a partir de su publicación.</w:t>
      </w:r>
    </w:p>
    <w:p w:rsidR="00140019" w:rsidRPr="004B275D" w:rsidRDefault="00140019" w:rsidP="00140019">
      <w:pPr>
        <w:jc w:val="both"/>
        <w:rPr>
          <w:rFonts w:ascii="TimesNewRoman" w:hAnsi="TimesNewRoman" w:cs="TimesNewRoman"/>
          <w:iCs/>
          <w:sz w:val="24"/>
          <w:szCs w:val="24"/>
        </w:rPr>
      </w:pPr>
      <w:r w:rsidRPr="004B275D">
        <w:rPr>
          <w:rFonts w:ascii="TimesNewRoman" w:hAnsi="TimesNewRoman" w:cs="TimesNewRoman"/>
          <w:iCs/>
          <w:sz w:val="24"/>
          <w:szCs w:val="24"/>
        </w:rPr>
        <w:t>Dado en la Presidencia de la República. - San José, a los veintidós días del mes de mayo de dos mil diecisiete.</w:t>
      </w:r>
    </w:p>
    <w:p w:rsidR="004B275D" w:rsidRDefault="004B275D" w:rsidP="004B275D">
      <w:pPr>
        <w:spacing w:after="0" w:line="240" w:lineRule="auto"/>
        <w:jc w:val="center"/>
        <w:rPr>
          <w:rFonts w:ascii="TimesNewRoman" w:hAnsi="TimesNewRoman" w:cs="TimesNewRoman"/>
          <w:i/>
          <w:iCs/>
          <w:sz w:val="24"/>
          <w:szCs w:val="24"/>
        </w:rPr>
      </w:pPr>
    </w:p>
    <w:p w:rsidR="00140019" w:rsidRPr="004B275D" w:rsidRDefault="00140019" w:rsidP="004B275D">
      <w:pPr>
        <w:spacing w:after="0" w:line="240" w:lineRule="auto"/>
        <w:jc w:val="center"/>
        <w:rPr>
          <w:rFonts w:ascii="TimesNewRoman" w:hAnsi="TimesNewRoman" w:cs="TimesNewRoman"/>
          <w:iCs/>
          <w:sz w:val="24"/>
          <w:szCs w:val="24"/>
        </w:rPr>
      </w:pPr>
      <w:r w:rsidRPr="004B275D">
        <w:rPr>
          <w:rFonts w:ascii="TimesNewRoman" w:hAnsi="TimesNewRoman" w:cs="TimesNewRoman"/>
          <w:iCs/>
          <w:sz w:val="24"/>
          <w:szCs w:val="24"/>
        </w:rPr>
        <w:t>LUIS GUILLERMO SOLÍS RIVERA</w:t>
      </w:r>
    </w:p>
    <w:p w:rsidR="004B275D" w:rsidRPr="004B275D" w:rsidRDefault="004B275D" w:rsidP="004B275D">
      <w:pPr>
        <w:spacing w:after="0" w:line="240" w:lineRule="auto"/>
        <w:jc w:val="center"/>
        <w:rPr>
          <w:rFonts w:ascii="TimesNewRoman" w:hAnsi="TimesNewRoman" w:cs="TimesNewRoman"/>
          <w:iCs/>
          <w:sz w:val="24"/>
          <w:szCs w:val="24"/>
        </w:rPr>
      </w:pPr>
    </w:p>
    <w:p w:rsidR="00140019" w:rsidRPr="004B275D" w:rsidRDefault="00140019" w:rsidP="004B275D">
      <w:pPr>
        <w:spacing w:after="0" w:line="240" w:lineRule="auto"/>
        <w:jc w:val="center"/>
        <w:rPr>
          <w:rFonts w:ascii="TimesNewRoman" w:hAnsi="TimesNewRoman" w:cs="TimesNewRoman"/>
          <w:iCs/>
          <w:sz w:val="24"/>
          <w:szCs w:val="24"/>
        </w:rPr>
      </w:pPr>
      <w:r w:rsidRPr="004B275D">
        <w:rPr>
          <w:rFonts w:ascii="TimesNewRoman" w:hAnsi="TimesNewRoman" w:cs="TimesNewRoman"/>
          <w:iCs/>
          <w:sz w:val="24"/>
          <w:szCs w:val="24"/>
        </w:rPr>
        <w:t>Sergio Iván Alfaro Salas</w:t>
      </w:r>
    </w:p>
    <w:p w:rsidR="00140019" w:rsidRPr="004B275D" w:rsidRDefault="00140019" w:rsidP="004B275D">
      <w:pPr>
        <w:spacing w:after="0" w:line="240" w:lineRule="auto"/>
        <w:jc w:val="center"/>
        <w:rPr>
          <w:rFonts w:ascii="TimesNewRoman" w:hAnsi="TimesNewRoman" w:cs="TimesNewRoman"/>
          <w:iCs/>
          <w:sz w:val="24"/>
          <w:szCs w:val="24"/>
        </w:rPr>
      </w:pPr>
      <w:r w:rsidRPr="004B275D">
        <w:rPr>
          <w:rFonts w:ascii="TimesNewRoman" w:hAnsi="TimesNewRoman" w:cs="TimesNewRoman"/>
          <w:iCs/>
          <w:sz w:val="24"/>
          <w:szCs w:val="24"/>
        </w:rPr>
        <w:t>MINISTRO DE LA PRESIDENCIA</w:t>
      </w:r>
    </w:p>
    <w:p w:rsidR="004B275D" w:rsidRPr="004B275D" w:rsidRDefault="004B275D" w:rsidP="004B275D">
      <w:pPr>
        <w:spacing w:after="0" w:line="240" w:lineRule="auto"/>
        <w:jc w:val="center"/>
        <w:rPr>
          <w:rFonts w:ascii="TimesNewRoman" w:hAnsi="TimesNewRoman" w:cs="TimesNewRoman"/>
          <w:iCs/>
          <w:sz w:val="24"/>
          <w:szCs w:val="24"/>
        </w:rPr>
      </w:pPr>
    </w:p>
    <w:p w:rsidR="00140019" w:rsidRPr="004B275D" w:rsidRDefault="00140019" w:rsidP="004B275D">
      <w:pPr>
        <w:spacing w:after="0" w:line="240" w:lineRule="auto"/>
        <w:jc w:val="center"/>
        <w:rPr>
          <w:rFonts w:ascii="TimesNewRoman" w:hAnsi="TimesNewRoman" w:cs="TimesNewRoman"/>
          <w:iCs/>
          <w:sz w:val="24"/>
          <w:szCs w:val="24"/>
        </w:rPr>
      </w:pPr>
      <w:r w:rsidRPr="004B275D">
        <w:rPr>
          <w:rFonts w:ascii="TimesNewRoman" w:hAnsi="TimesNewRoman" w:cs="TimesNewRoman"/>
          <w:iCs/>
          <w:sz w:val="24"/>
          <w:szCs w:val="24"/>
        </w:rPr>
        <w:t>Luis Gustavo Mata Vega</w:t>
      </w:r>
    </w:p>
    <w:p w:rsidR="00140019" w:rsidRPr="004B275D" w:rsidRDefault="00140019" w:rsidP="004B275D">
      <w:pPr>
        <w:spacing w:after="0" w:line="240" w:lineRule="auto"/>
        <w:jc w:val="center"/>
        <w:rPr>
          <w:rFonts w:ascii="TimesNewRoman" w:hAnsi="TimesNewRoman" w:cs="TimesNewRoman"/>
          <w:iCs/>
          <w:sz w:val="24"/>
          <w:szCs w:val="24"/>
        </w:rPr>
      </w:pPr>
      <w:r w:rsidRPr="004B275D">
        <w:rPr>
          <w:rFonts w:ascii="TimesNewRoman" w:hAnsi="TimesNewRoman" w:cs="TimesNewRoman"/>
          <w:iCs/>
          <w:sz w:val="24"/>
          <w:szCs w:val="24"/>
        </w:rPr>
        <w:t>MINISTRO DE SEGURIDAD PÚBLICA</w:t>
      </w:r>
    </w:p>
    <w:p w:rsidR="004B275D" w:rsidRPr="004B275D" w:rsidRDefault="004B275D" w:rsidP="004B275D">
      <w:pPr>
        <w:jc w:val="center"/>
        <w:rPr>
          <w:rFonts w:ascii="TimesNewRoman" w:hAnsi="TimesNewRoman" w:cs="TimesNewRoman"/>
          <w:iCs/>
          <w:sz w:val="24"/>
          <w:szCs w:val="24"/>
        </w:rPr>
      </w:pPr>
    </w:p>
    <w:p w:rsidR="004B275D" w:rsidRPr="004B275D" w:rsidRDefault="004B275D" w:rsidP="004B275D">
      <w:pPr>
        <w:jc w:val="center"/>
        <w:rPr>
          <w:rFonts w:ascii="TimesNewRoman" w:hAnsi="TimesNewRoman" w:cs="TimesNewRoman"/>
          <w:iCs/>
          <w:sz w:val="24"/>
          <w:szCs w:val="24"/>
        </w:rPr>
      </w:pPr>
    </w:p>
    <w:p w:rsidR="0043598D" w:rsidRPr="004B275D" w:rsidRDefault="00140019" w:rsidP="004B275D">
      <w:pPr>
        <w:jc w:val="both"/>
      </w:pPr>
      <w:r w:rsidRPr="004B275D">
        <w:rPr>
          <w:rFonts w:ascii="TimesNewRoman" w:hAnsi="TimesNewRoman" w:cs="TimesNewRoman"/>
          <w:iCs/>
          <w:sz w:val="24"/>
          <w:szCs w:val="24"/>
        </w:rPr>
        <w:t>1 vez</w:t>
      </w:r>
      <w:proofErr w:type="gramStart"/>
      <w:r w:rsidRPr="004B275D">
        <w:rPr>
          <w:rFonts w:ascii="TimesNewRoman" w:hAnsi="TimesNewRoman" w:cs="TimesNewRoman"/>
          <w:iCs/>
          <w:sz w:val="24"/>
          <w:szCs w:val="24"/>
        </w:rPr>
        <w:t>.—</w:t>
      </w:r>
      <w:proofErr w:type="gramEnd"/>
      <w:r w:rsidRPr="004B275D">
        <w:rPr>
          <w:rFonts w:ascii="TimesNewRoman" w:hAnsi="TimesNewRoman" w:cs="TimesNewRoman"/>
          <w:iCs/>
          <w:sz w:val="24"/>
          <w:szCs w:val="24"/>
        </w:rPr>
        <w:t>O. C. N° 3400033263.—( IN2017147513 ).</w:t>
      </w:r>
    </w:p>
    <w:sectPr w:rsidR="0043598D" w:rsidRPr="004B27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19"/>
    <w:rsid w:val="00140019"/>
    <w:rsid w:val="001444E8"/>
    <w:rsid w:val="00395CB9"/>
    <w:rsid w:val="0043598D"/>
    <w:rsid w:val="004B275D"/>
    <w:rsid w:val="00D6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8E7A0-4B16-4FD1-B3E1-33903553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1671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 Ching Sojo</dc:creator>
  <cp:keywords/>
  <dc:description/>
  <cp:lastModifiedBy>Wilber Ching Sojo</cp:lastModifiedBy>
  <cp:revision>3</cp:revision>
  <dcterms:created xsi:type="dcterms:W3CDTF">2017-07-07T13:40:00Z</dcterms:created>
  <dcterms:modified xsi:type="dcterms:W3CDTF">2017-07-07T13:54:00Z</dcterms:modified>
</cp:coreProperties>
</file>